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72" w:type="dxa"/>
        <w:tblInd w:w="108" w:type="dxa"/>
        <w:tblLook w:val="04A0" w:firstRow="1" w:lastRow="0" w:firstColumn="1" w:lastColumn="0" w:noHBand="0" w:noVBand="1"/>
      </w:tblPr>
      <w:tblGrid>
        <w:gridCol w:w="3402"/>
        <w:gridCol w:w="5670"/>
      </w:tblGrid>
      <w:tr>
        <w:tc>
          <w:tcPr>
            <w:tcW w:w="3402" w:type="dxa"/>
          </w:tcPr>
          <w:p>
            <w:pPr>
              <w:jc w:val="center"/>
              <w:rPr>
                <w:bCs/>
                <w:sz w:val="26"/>
              </w:rPr>
            </w:pPr>
            <w:r>
              <w:rPr>
                <w:bCs/>
                <w:sz w:val="26"/>
              </w:rPr>
              <w:t>UBND TỈNH ĐIỆN BIÊN</w:t>
            </w:r>
          </w:p>
          <w:p>
            <w:pPr>
              <w:jc w:val="center"/>
              <w:rPr>
                <w:b/>
                <w:bCs/>
                <w:sz w:val="26"/>
              </w:rPr>
            </w:pPr>
            <w:r>
              <w:rPr>
                <w:b/>
                <w:bCs/>
                <w:sz w:val="26"/>
              </w:rPr>
              <w:t>SỞ CÔNG THƯƠNG</w:t>
            </w:r>
          </w:p>
          <w:p>
            <w:pPr>
              <w:jc w:val="center"/>
              <w:rPr>
                <w:b/>
                <w:bCs/>
              </w:rPr>
            </w:pPr>
            <w:r>
              <w:rPr>
                <w:noProof/>
              </w:rPr>
              <mc:AlternateContent>
                <mc:Choice Requires="wps">
                  <w:drawing>
                    <wp:anchor distT="4294967295" distB="4294967295" distL="114300" distR="114300" simplePos="0" relativeHeight="251662336" behindDoc="0" locked="0" layoutInCell="1" allowOverlap="1">
                      <wp:simplePos x="0" y="0"/>
                      <wp:positionH relativeFrom="column">
                        <wp:posOffset>689882</wp:posOffset>
                      </wp:positionH>
                      <wp:positionV relativeFrom="paragraph">
                        <wp:posOffset>9525</wp:posOffset>
                      </wp:positionV>
                      <wp:extent cx="728980" cy="0"/>
                      <wp:effectExtent l="0" t="0" r="13970" b="190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8980" cy="0"/>
                              </a:xfrm>
                              <a:prstGeom prst="straightConnector1">
                                <a:avLst/>
                              </a:prstGeom>
                              <a:noFill/>
                              <a:ln w="9525">
                                <a:solidFill>
                                  <a:srgbClr val="000000"/>
                                </a:solidFill>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54.3pt;margin-top:.75pt;width:57.4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"/>
                  </w:pict>
                </mc:Fallback>
              </mc:AlternateContent>
            </w:r>
          </w:p>
          <w:p>
            <w:pPr>
              <w:jc w:val="center"/>
            </w:pPr>
            <w:r>
              <w:t>Số:             /TTr-SCT</w:t>
            </w:r>
          </w:p>
        </w:tc>
        <w:tc>
          <w:tcPr>
            <w:tcW w:w="5670" w:type="dxa"/>
          </w:tcPr>
          <w:p>
            <w:pPr>
              <w:jc w:val="center"/>
              <w:rPr>
                <w:b/>
                <w:bCs/>
                <w:sz w:val="26"/>
                <w:szCs w:val="26"/>
              </w:rPr>
            </w:pPr>
            <w:r>
              <w:rPr>
                <w:b/>
                <w:bCs/>
                <w:sz w:val="26"/>
                <w:szCs w:val="26"/>
              </w:rPr>
              <w:t>CỘNG HOÀ XÃ HỘI CHỦ NGHĨA VIỆT NAM</w:t>
            </w:r>
          </w:p>
          <w:p>
            <w:pPr>
              <w:jc w:val="center"/>
              <w:rPr>
                <w:b/>
                <w:bCs/>
              </w:rPr>
            </w:pPr>
            <w:r>
              <w:rPr>
                <w:b/>
                <w:bCs/>
              </w:rPr>
              <w:t>Độc lập - Tự do - Hạnh phúc</w:t>
            </w:r>
          </w:p>
          <w:p>
            <w:pPr>
              <w:spacing w:before="240"/>
              <w:jc w:val="center"/>
              <w:rPr>
                <w:b/>
                <w:bCs/>
                <w:sz w:val="20"/>
                <w:szCs w:val="26"/>
              </w:rPr>
            </w:pPr>
            <w:r>
              <w:rPr>
                <w:i/>
                <w:iCs/>
                <w:noProof/>
              </w:rPr>
              <mc:AlternateContent>
                <mc:Choice Requires="wps">
                  <w:drawing>
                    <wp:anchor distT="4294967295" distB="4294967295" distL="114300" distR="114300" simplePos="0" relativeHeight="251663360" behindDoc="0" locked="0" layoutInCell="1" allowOverlap="1">
                      <wp:simplePos x="0" y="0"/>
                      <wp:positionH relativeFrom="column">
                        <wp:posOffset>642529</wp:posOffset>
                      </wp:positionH>
                      <wp:positionV relativeFrom="paragraph">
                        <wp:posOffset>39461</wp:posOffset>
                      </wp:positionV>
                      <wp:extent cx="2171700" cy="0"/>
                      <wp:effectExtent l="0" t="0" r="19050"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straightConnector1">
                                <a:avLst/>
                              </a:prstGeom>
                              <a:noFill/>
                              <a:ln w="9525">
                                <a:solidFill>
                                  <a:srgbClr val="000000"/>
                                </a:solidFill>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50.6pt;margin-top:3.1pt;width:171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"/>
                  </w:pict>
                </mc:Fallback>
              </mc:AlternateContent>
            </w:r>
            <w:r>
              <w:rPr>
                <w:i/>
                <w:iCs/>
              </w:rPr>
              <w:t>Điện Biên, ngày         tháng 4 năm 2025</w:t>
            </w:r>
          </w:p>
        </w:tc>
      </w:tr>
    </w:tbl>
    <w:p>
      <w:pPr>
        <w:rPr>
          <w:sz w:val="2"/>
        </w:rPr>
      </w:pPr>
    </w:p>
    <w:p>
      <w:pPr>
        <w:jc w:val="center"/>
        <w:rPr>
          <w:sz w:val="20"/>
        </w:rPr>
      </w:pPr>
    </w:p>
    <w:p>
      <w:pPr>
        <w:jc w:val="center"/>
        <w:rPr>
          <w:b/>
        </w:rPr>
      </w:pPr>
      <w:r>
        <w:rPr>
          <w:b/>
        </w:rPr>
        <w:t>TỜ TRÌNH</w:t>
      </w:r>
    </w:p>
    <w:p>
      <w:pPr>
        <w:jc w:val="center"/>
      </w:pPr>
      <w:r>
        <w:rPr>
          <w:b/>
        </w:rPr>
        <w:t>Dự thảo Quyết định sửa đổi, bổ sung một số điều của Quyết định số 24/2022/QĐ-UBND ngày 19 tháng 7 năm 2022 của Ủy ban nhân dân tỉnh Điện Biên ban hành Quy chế quản lý kinh phí khuyến công và mức chi cụ thể cho hoạt động khuyến công địa phương tỉnh Điện Biên</w:t>
      </w:r>
    </w:p>
    <w:p>
      <w:pPr>
        <w:jc w:val="center"/>
      </w:pPr>
      <w:r>
        <w:rPr>
          <w:noProof/>
        </w:rPr>
        <mc:AlternateContent>
          <mc:Choice Requires="wps">
            <w:drawing>
              <wp:anchor distT="0" distB="0" distL="114300" distR="114300" simplePos="0" relativeHeight="251660288" behindDoc="0" locked="0" layoutInCell="1" allowOverlap="1">
                <wp:simplePos x="0" y="0"/>
                <wp:positionH relativeFrom="column">
                  <wp:posOffset>2200547</wp:posOffset>
                </wp:positionH>
                <wp:positionV relativeFrom="paragraph">
                  <wp:posOffset>57150</wp:posOffset>
                </wp:positionV>
                <wp:extent cx="1393371" cy="0"/>
                <wp:effectExtent l="0" t="0" r="16510" b="19050"/>
                <wp:wrapNone/>
                <wp:docPr id="3" name="Straight Connector 3"/>
                <wp:cNvGraphicFramePr/>
                <a:graphic xmlns:a="http://schemas.openxmlformats.org/drawingml/2006/main">
                  <a:graphicData uri="http://schemas.microsoft.com/office/word/2010/wordprocessingShape">
                    <wps:wsp>
                      <wps:cNvCnPr/>
                      <wps:spPr>
                        <a:xfrm>
                          <a:off x="0" y="0"/>
                          <a:ext cx="139337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3.25pt,4.5pt" to="282.9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" strokecolor="black [3040]"/>
            </w:pict>
          </mc:Fallback>
        </mc:AlternateContent>
      </w:r>
    </w:p>
    <w:p>
      <w:pPr>
        <w:ind w:left="720" w:firstLine="720"/>
        <w:rPr>
          <w:sz w:val="24"/>
        </w:rPr>
      </w:pPr>
    </w:p>
    <w:p>
      <w:pPr>
        <w:jc w:val="center"/>
      </w:pPr>
      <w:r>
        <w:t>Kính gửi: Ủy ban nhân dân tỉnh Điện Biên.</w:t>
      </w:r>
    </w:p>
    <w:p>
      <w:pPr>
        <w:ind w:firstLine="454"/>
        <w:jc w:val="center"/>
      </w:pPr>
      <w:r>
        <w:t xml:space="preserve"> </w:t>
      </w:r>
    </w:p>
    <w:p>
      <w:pPr>
        <w:widowControl w:val="0"/>
        <w:spacing w:before="120" w:after="120"/>
        <w:ind w:firstLine="454"/>
        <w:jc w:val="center"/>
        <w:rPr>
          <w:sz w:val="6"/>
        </w:rPr>
      </w:pPr>
    </w:p>
    <w:p>
      <w:pPr>
        <w:widowControl w:val="0"/>
        <w:spacing w:before="120" w:after="120"/>
        <w:ind w:firstLine="720"/>
        <w:jc w:val="both"/>
      </w:pPr>
      <w:r>
        <w:rPr>
          <w:i/>
        </w:rPr>
        <w:t xml:space="preserve"> </w:t>
      </w:r>
      <w:r>
        <w:t xml:space="preserve">Thực hiện quy định của Luật Ban hành văn bản quy phạm pháp luật,  </w:t>
      </w:r>
      <w:r>
        <w:rPr>
          <w:lang w:val="vi-VN"/>
        </w:rPr>
        <w:t xml:space="preserve">Sở Công Thương </w:t>
      </w:r>
      <w:r>
        <w:rPr>
          <w:noProof/>
        </w:rPr>
        <w:t>kính trình</w:t>
      </w:r>
      <w:r>
        <w:rPr>
          <w:noProof/>
          <w:lang w:val="vi-VN"/>
        </w:rPr>
        <w:t xml:space="preserve"> </w:t>
      </w:r>
      <w:r>
        <w:rPr>
          <w:noProof/>
        </w:rPr>
        <w:t>Ủy ban nhân dân</w:t>
      </w:r>
      <w:r>
        <w:rPr>
          <w:noProof/>
          <w:lang w:val="vi-VN"/>
        </w:rPr>
        <w:t xml:space="preserve"> tỉnh Điện Biên </w:t>
      </w:r>
      <w:r>
        <w:rPr>
          <w:noProof/>
        </w:rPr>
        <w:t>Dự thảo</w:t>
      </w:r>
      <w:r>
        <w:rPr>
          <w:lang w:val="vi-VN"/>
        </w:rPr>
        <w:t xml:space="preserve"> </w:t>
      </w:r>
      <w:r>
        <w:t>“</w:t>
      </w:r>
      <w:r>
        <w:rPr>
          <w:lang w:val="vi-VN"/>
        </w:rPr>
        <w:t>Quyết định sửa đổi, bổ sung một số điều của Quyết định số 24/2022/QĐ-UBND ngày 19</w:t>
      </w:r>
      <w:r>
        <w:t xml:space="preserve"> tháng </w:t>
      </w:r>
      <w:r>
        <w:rPr>
          <w:lang w:val="vi-VN"/>
        </w:rPr>
        <w:t>7</w:t>
      </w:r>
      <w:r>
        <w:t xml:space="preserve"> năm </w:t>
      </w:r>
      <w:r>
        <w:rPr>
          <w:lang w:val="vi-VN"/>
        </w:rPr>
        <w:t xml:space="preserve">2022 của </w:t>
      </w:r>
      <w:r>
        <w:t>Ủy ban nhân dân</w:t>
      </w:r>
      <w:r>
        <w:rPr>
          <w:lang w:val="vi-VN"/>
        </w:rPr>
        <w:t xml:space="preserve"> tỉnh Điện Biên ban hành Quy chế quản lý kinh phí khuyến công và mức chi cụ thể cho hoạt động khuyến công địa phương tỉnh Điện Biên</w:t>
      </w:r>
      <w:r>
        <w:t>”</w:t>
      </w:r>
      <w:r>
        <w:rPr>
          <w:lang w:val="vi-VN"/>
        </w:rPr>
        <w:t xml:space="preserve"> với nội dung như sau:</w:t>
      </w:r>
    </w:p>
    <w:p>
      <w:pPr>
        <w:widowControl w:val="0"/>
        <w:spacing w:before="120" w:after="120"/>
        <w:ind w:firstLine="720"/>
        <w:jc w:val="both"/>
        <w:rPr>
          <w:b/>
        </w:rPr>
      </w:pPr>
      <w:r>
        <w:rPr>
          <w:b/>
        </w:rPr>
        <w:t>I. SỰ CẦN THIẾT BAN HÀNH VĂN BẢN</w:t>
      </w:r>
    </w:p>
    <w:p>
      <w:pPr>
        <w:widowControl w:val="0"/>
        <w:spacing w:before="120" w:after="120"/>
        <w:ind w:firstLine="720"/>
        <w:jc w:val="both"/>
        <w:rPr>
          <w:spacing w:val="-2"/>
        </w:rPr>
      </w:pPr>
      <w:r>
        <w:rPr>
          <w:spacing w:val="-2"/>
        </w:rPr>
        <w:t>Sau khi Chính phủ ban hành Nghị định số 45/2012/NĐ-CP ngày 21 tháng 5 năm 2012 về Khuyến công. Căn cứ vào các quy định hiện hành, Sở Công Thương đã tham mưu cho Ủy ban nhân dân tỉnh Điện Biên ban hành Quyết định về chính sách, quy chế quản lý, chương trình, kế hoạch khuyến công trên địa bàn tỉnh</w:t>
      </w:r>
      <w:r>
        <w:rPr>
          <w:rStyle w:val="FootnoteReference"/>
          <w:spacing w:val="-2"/>
        </w:rPr>
        <w:footnoteReference w:id="1"/>
      </w:r>
      <w:r>
        <w:rPr>
          <w:spacing w:val="-2"/>
        </w:rPr>
        <w:t xml:space="preserve">. </w:t>
      </w:r>
    </w:p>
    <w:p>
      <w:pPr>
        <w:widowControl w:val="0"/>
        <w:spacing w:before="120" w:after="120"/>
        <w:ind w:firstLine="720"/>
        <w:jc w:val="both"/>
        <w:rPr>
          <w:spacing w:val="-2"/>
        </w:rPr>
      </w:pPr>
      <w:r>
        <w:rPr>
          <w:spacing w:val="-2"/>
        </w:rPr>
        <w:t>Ngày 28 tháng 8 năm 2024 Bộ Tài chính ban hành Thông tư số 64/2024/TT-BTC sửa đổi, bổ sung một số điều của Thông tư số 28/2018/TT-BTC ngày 28 tháng 3 năm 2018 của Bộ Tài chính hướng dẫn lập, quản lý, sử dụng kinh phí khuyến công. Tại khoản 2, Điều 2 của Thông tư quy định “</w:t>
      </w:r>
      <w:r>
        <w:rPr>
          <w:i/>
          <w:spacing w:val="-2"/>
        </w:rPr>
        <w:t>Đối với nội dung chi và mức chi hoạt động khuyến công địa phương đã được quyết định hoặc phê duyệt  theo quy định pháp luật trước ngày Thông tư này có hiệu lực thi hành được tiếp tục thực hiện theo quy định cho đến khi Hội đồng nhân dân cấp tỉnh có quyết nghị về nội dung và mức chi hoạt động khuyến công địa phương, nhưng tối đa không quá niên độ ngân sách nhà nước năm 2024 và bảo đảm phù hợp quy định của Luật Ngân sách Nhà nước và quy định tại Thông tư này”</w:t>
      </w:r>
      <w:r>
        <w:rPr>
          <w:spacing w:val="-2"/>
        </w:rPr>
        <w:t xml:space="preserve">. </w:t>
      </w:r>
    </w:p>
    <w:p>
      <w:pPr>
        <w:widowControl w:val="0"/>
        <w:spacing w:before="120" w:after="120"/>
        <w:ind w:firstLine="720"/>
        <w:jc w:val="both"/>
      </w:pPr>
      <w:r>
        <w:lastRenderedPageBreak/>
        <w:t>Căn cứ vào quy định trên, nội dung chi và mức chi cụ thể hoạt động khuyến công địa phương do Hội đồng nhân dân tỉnh quyết định. Do đó việc sửa đổi, bổ sung Quyết định số 24/2022/QĐ-UBND ngày 19 tháng 7 năm 2022 của UBND tỉnh Điện Biên ban hành Quy chế quản lý kinh phí khuyến công và mức chi cụ thể cho hoạt động khuyến công địa phương tỉnh Điện Biên là cần thiết và phù hợp theo quy định.</w:t>
      </w:r>
    </w:p>
    <w:p>
      <w:pPr>
        <w:widowControl w:val="0"/>
        <w:spacing w:before="120" w:after="120"/>
        <w:ind w:firstLine="720"/>
        <w:jc w:val="both"/>
      </w:pPr>
      <w:r>
        <w:rPr>
          <w:b/>
        </w:rPr>
        <w:t>II. MỤC ĐÍCH, QUAN ĐIỂM XÂY DỰNG VĂN BẢN</w:t>
      </w:r>
    </w:p>
    <w:p>
      <w:pPr>
        <w:widowControl w:val="0"/>
        <w:spacing w:before="120" w:after="120"/>
        <w:ind w:firstLine="720"/>
        <w:jc w:val="both"/>
      </w:pPr>
      <w:r>
        <w:rPr>
          <w:b/>
        </w:rPr>
        <w:t>1. Mục đích</w:t>
      </w:r>
    </w:p>
    <w:p>
      <w:pPr>
        <w:widowControl w:val="0"/>
        <w:spacing w:before="120" w:after="120"/>
        <w:ind w:firstLine="720"/>
        <w:jc w:val="both"/>
      </w:pPr>
      <w:r>
        <w:t>Cụ thể hóa các quy định tại văn bản quy phạm pháp luật của cơ quan nhà nước cấp trên, phù hợp với tình hình thực tế tại địa phương.</w:t>
      </w:r>
    </w:p>
    <w:p>
      <w:pPr>
        <w:widowControl w:val="0"/>
        <w:spacing w:before="120" w:after="120"/>
        <w:ind w:firstLine="720"/>
        <w:jc w:val="both"/>
      </w:pPr>
      <w:r>
        <w:rPr>
          <w:b/>
        </w:rPr>
        <w:t>2. Quan điểm xây dựng văn bản</w:t>
      </w:r>
    </w:p>
    <w:p>
      <w:pPr>
        <w:widowControl w:val="0"/>
        <w:spacing w:before="120" w:after="120"/>
        <w:ind w:firstLine="720"/>
        <w:jc w:val="both"/>
        <w:rPr>
          <w:spacing w:val="-2"/>
        </w:rPr>
      </w:pPr>
      <w:r>
        <w:rPr>
          <w:spacing w:val="-2"/>
        </w:rPr>
        <w:t>Việc xây dựng dự thảo Quyết định phải tuân thủ nghiêm quy định của Luật Ban hành văn bản quy phạm pháp luật, đảm bảo tính hợp hiến, hợp pháp, thống nhất với hệ thống pháp luật và đảm bảo tính khả thi khi văn bản được ban hành.</w:t>
      </w:r>
    </w:p>
    <w:p>
      <w:pPr>
        <w:widowControl w:val="0"/>
        <w:spacing w:before="120" w:after="120"/>
        <w:ind w:firstLine="720"/>
        <w:jc w:val="both"/>
        <w:rPr>
          <w:b/>
        </w:rPr>
      </w:pPr>
      <w:r>
        <w:rPr>
          <w:b/>
        </w:rPr>
        <w:t>III. QUÁ TRÌNH XÂY DỰNG DỰ THẢO VĂN BẢN</w:t>
      </w:r>
    </w:p>
    <w:p>
      <w:pPr>
        <w:widowControl w:val="0"/>
        <w:spacing w:before="120" w:after="120"/>
        <w:ind w:firstLine="720"/>
        <w:jc w:val="both"/>
      </w:pPr>
      <w:r>
        <w:t>Dự thảo Quyết định do Sở Công Thương chủ trì soạn thảo đã được gửi xin ý kiến tham gia của các Sở, ngành có liên quan và Ủy ban nhân dân các huyện, thị xã, thành phố bằng văn bản; được đăng công khai trên website của Ủy ban nhân dân tỉnh Điện Biên tại địa chỉ: dienbien.gov.vn để xin ý kiến rộng rãi theo quy định.</w:t>
      </w:r>
    </w:p>
    <w:p>
      <w:pPr>
        <w:widowControl w:val="0"/>
        <w:spacing w:before="120" w:after="120"/>
        <w:ind w:firstLine="720"/>
        <w:jc w:val="both"/>
      </w:pPr>
      <w:r>
        <w:t xml:space="preserve">Dự thảo cũng đã được Mặt Trận tổ quốc Việt Nam tỉnh Điện Biên tổ chức Hội nghị phản biện ngày .......; Sở Tư pháp thẩm định tại văn bản số ......... </w:t>
      </w:r>
    </w:p>
    <w:p>
      <w:pPr>
        <w:widowControl w:val="0"/>
        <w:spacing w:before="120" w:after="120"/>
        <w:ind w:firstLine="720"/>
        <w:jc w:val="both"/>
      </w:pPr>
      <w:r>
        <w:t>Căn cứ vào các ý kiến tham gia của các đơn vị, ý kiến thẩm định của Sở Tư pháp, Sở Công Thương đã nghiêm túc tiếp thu, giải trình các ý kiến tham gia và ý kiến thẩm định.</w:t>
      </w:r>
    </w:p>
    <w:p>
      <w:pPr>
        <w:widowControl w:val="0"/>
        <w:spacing w:before="120" w:after="120"/>
        <w:ind w:firstLine="720"/>
        <w:jc w:val="both"/>
        <w:rPr>
          <w:i/>
        </w:rPr>
      </w:pPr>
      <w:r>
        <w:rPr>
          <w:i/>
        </w:rPr>
        <w:t>(Có Báo cáo tiếp thu giải trình kèm theo).</w:t>
      </w:r>
    </w:p>
    <w:p>
      <w:pPr>
        <w:widowControl w:val="0"/>
        <w:spacing w:before="120" w:after="120"/>
        <w:ind w:firstLine="720"/>
        <w:jc w:val="both"/>
        <w:rPr>
          <w:b/>
        </w:rPr>
      </w:pPr>
      <w:r>
        <w:rPr>
          <w:b/>
        </w:rPr>
        <w:t>IV. BỐ CỤC VÀ NỘI DUNG CƠ BẢN CỦA DỰ THẢO VĂN BẢN</w:t>
      </w:r>
    </w:p>
    <w:p>
      <w:pPr>
        <w:widowControl w:val="0"/>
        <w:spacing w:before="120" w:after="120"/>
        <w:ind w:firstLine="720"/>
        <w:jc w:val="both"/>
      </w:pPr>
      <w:r>
        <w:rPr>
          <w:b/>
        </w:rPr>
        <w:t xml:space="preserve">1. Phạm vi điều chỉnh </w:t>
      </w:r>
    </w:p>
    <w:p>
      <w:pPr>
        <w:widowControl w:val="0"/>
        <w:spacing w:before="120" w:after="120"/>
        <w:ind w:firstLine="720"/>
        <w:jc w:val="both"/>
      </w:pPr>
      <w:r>
        <w:t>Quy chế này quy định về quản lý kinh phí khuyến công địa phương tỉnh Điện Biên.</w:t>
      </w:r>
    </w:p>
    <w:p>
      <w:pPr>
        <w:widowControl w:val="0"/>
        <w:spacing w:before="120" w:after="120"/>
        <w:ind w:firstLine="720"/>
        <w:jc w:val="both"/>
      </w:pPr>
      <w:r>
        <w:rPr>
          <w:b/>
        </w:rPr>
        <w:t>2. Đối tượng áp dụng</w:t>
      </w:r>
    </w:p>
    <w:p>
      <w:pPr>
        <w:widowControl w:val="0"/>
        <w:spacing w:after="120"/>
        <w:ind w:firstLine="567"/>
        <w:jc w:val="both"/>
        <w:rPr>
          <w:lang w:val="nl-NL"/>
        </w:rPr>
      </w:pPr>
      <w:r>
        <w:rPr>
          <w:iCs/>
          <w:lang w:val="nl-NL"/>
        </w:rPr>
        <w:t xml:space="preserve"> </w:t>
      </w:r>
      <w:r>
        <w:rPr>
          <w:lang w:val="nl-NL"/>
        </w:rPr>
        <w:t xml:space="preserve">a) Doanh nghiệp nhỏ và vừa, hợp tác xã, tổ hợp tác, hộ kinh doanh thành lập và hoạt động theo quy định của pháp luật trực tiếp đầu tư, sản xuất công nghiệp, tiểu thủ công nghiệp trên địa bàn tỉnh Điện Biên (gọi chung là cơ sở công nghiệp nông thôn).  </w:t>
      </w:r>
    </w:p>
    <w:p>
      <w:pPr>
        <w:pStyle w:val="NormalWeb"/>
        <w:widowControl w:val="0"/>
        <w:spacing w:before="0" w:beforeAutospacing="0" w:after="120" w:afterAutospacing="0"/>
        <w:ind w:firstLine="567"/>
        <w:jc w:val="both"/>
        <w:rPr>
          <w:sz w:val="28"/>
          <w:szCs w:val="28"/>
          <w:lang w:val="nl-NL"/>
        </w:rPr>
      </w:pPr>
      <w:r>
        <w:rPr>
          <w:sz w:val="28"/>
          <w:szCs w:val="28"/>
          <w:lang w:val="nl-NL"/>
        </w:rPr>
        <w:t xml:space="preserve">b) </w:t>
      </w:r>
      <w:r>
        <w:rPr>
          <w:sz w:val="28"/>
          <w:szCs w:val="28"/>
          <w:lang w:val="vi-VN"/>
        </w:rPr>
        <w:t>Các cơ sở sản xuất công nghiệp áp dụng sản xuất sạch hơn.</w:t>
      </w:r>
    </w:p>
    <w:p>
      <w:pPr>
        <w:widowControl w:val="0"/>
        <w:spacing w:after="120"/>
        <w:ind w:firstLine="567"/>
        <w:jc w:val="both"/>
        <w:rPr>
          <w:lang w:val="nl-NL"/>
        </w:rPr>
      </w:pPr>
      <w:r>
        <w:rPr>
          <w:lang w:val="nl-NL"/>
        </w:rPr>
        <w:t xml:space="preserve">c) </w:t>
      </w:r>
      <w:r>
        <w:rPr>
          <w:lang w:val="vi-VN"/>
        </w:rPr>
        <w:t>Tổ chức, cá nhân trong nước và nước ngoài tham gia công tác quản lý, thực hiện hoạt động dịch vụ khuyến công</w:t>
      </w:r>
      <w:r>
        <w:rPr>
          <w:lang w:val="nl-NL"/>
        </w:rPr>
        <w:t>.</w:t>
      </w:r>
    </w:p>
    <w:p>
      <w:pPr>
        <w:widowControl w:val="0"/>
        <w:spacing w:before="120" w:after="120"/>
        <w:ind w:firstLine="720"/>
        <w:jc w:val="both"/>
        <w:rPr>
          <w:b/>
        </w:rPr>
      </w:pPr>
      <w:r>
        <w:rPr>
          <w:iCs/>
          <w:spacing w:val="-2"/>
          <w:lang w:val="nl-NL"/>
        </w:rPr>
        <w:t xml:space="preserve">3. </w:t>
      </w:r>
      <w:r>
        <w:rPr>
          <w:b/>
        </w:rPr>
        <w:t>Bố cục của dự thảo văn bản</w:t>
      </w:r>
    </w:p>
    <w:p>
      <w:pPr>
        <w:widowControl w:val="0"/>
        <w:spacing w:before="120" w:after="120"/>
        <w:ind w:firstLine="720"/>
        <w:jc w:val="both"/>
      </w:pPr>
      <w:r>
        <w:lastRenderedPageBreak/>
        <w:t>Dự thảo Quyết định (quy định trực tiếp) gồm 3 Điều; trong đó Điều 1 quy định nội dung sửa đổi, bổ sung; Điều 2 quy định hiệu lực của văn bản; Điều 3 quy định trách nhiệm thi hành.</w:t>
      </w:r>
    </w:p>
    <w:p>
      <w:pPr>
        <w:widowControl w:val="0"/>
        <w:spacing w:before="120" w:after="120"/>
        <w:ind w:firstLine="720"/>
        <w:jc w:val="both"/>
        <w:rPr>
          <w:b/>
          <w:spacing w:val="-2"/>
        </w:rPr>
      </w:pPr>
      <w:r>
        <w:rPr>
          <w:b/>
        </w:rPr>
        <w:t xml:space="preserve">4. </w:t>
      </w:r>
      <w:r>
        <w:rPr>
          <w:b/>
          <w:spacing w:val="-2"/>
        </w:rPr>
        <w:t>Nội dung cơ bản</w:t>
      </w:r>
    </w:p>
    <w:p>
      <w:pPr>
        <w:widowControl w:val="0"/>
        <w:spacing w:before="120" w:after="120"/>
        <w:ind w:firstLine="720"/>
        <w:jc w:val="both"/>
      </w:pPr>
      <w:r>
        <w:t>- Sửa đổi phạm vi điều chỉnh, bỏ nội dung: mức chi cụ thể cho hoạt động khuyến công;</w:t>
      </w:r>
    </w:p>
    <w:p>
      <w:pPr>
        <w:widowControl w:val="0"/>
        <w:spacing w:before="120" w:after="120"/>
        <w:ind w:firstLine="720"/>
        <w:jc w:val="both"/>
        <w:rPr>
          <w:spacing w:val="-2"/>
        </w:rPr>
      </w:pPr>
      <w:r>
        <w:rPr>
          <w:spacing w:val="-2"/>
        </w:rPr>
        <w:t xml:space="preserve">- Bãi bỏ các điều trong chương II quy định mức chi hoạt động khuyến công địa phương </w:t>
      </w:r>
      <w:r>
        <w:t>(lý do: đã quy định trong Nghị quyết của Hội đồng nhân dân)</w:t>
      </w:r>
      <w:r>
        <w:rPr>
          <w:spacing w:val="-2"/>
        </w:rPr>
        <w:t>.</w:t>
      </w:r>
    </w:p>
    <w:p>
      <w:pPr>
        <w:widowControl w:val="0"/>
        <w:spacing w:before="120" w:after="120"/>
        <w:ind w:firstLine="720"/>
        <w:jc w:val="both"/>
        <w:rPr>
          <w:b/>
          <w:lang w:val="nl-NL"/>
        </w:rPr>
      </w:pPr>
      <w:r>
        <w:rPr>
          <w:b/>
          <w:lang w:val="nl-NL"/>
        </w:rPr>
        <w:t>V.  DỰ KIẾN NGUỒN LỰC, ĐIỀU KIỆN BẢO ĐẢM CHO VIỆC THI HÀNH VĂN BẢN VÀ THỜI GIAN TRÌNH THÔNG QUA/BAN HÀNH</w:t>
      </w:r>
    </w:p>
    <w:p>
      <w:pPr>
        <w:widowControl w:val="0"/>
        <w:spacing w:before="120" w:after="120"/>
        <w:ind w:firstLine="720"/>
        <w:jc w:val="both"/>
        <w:rPr>
          <w:lang w:val="nl-NL"/>
        </w:rPr>
      </w:pPr>
      <w:r>
        <w:rPr>
          <w:b/>
          <w:lang w:val="nl-NL"/>
        </w:rPr>
        <w:t>1. Nguồn nhân lực</w:t>
      </w:r>
    </w:p>
    <w:p>
      <w:pPr>
        <w:widowControl w:val="0"/>
        <w:spacing w:before="120" w:after="120"/>
        <w:ind w:firstLine="720"/>
        <w:jc w:val="both"/>
        <w:rPr>
          <w:lang w:val="nl-NL"/>
        </w:rPr>
      </w:pPr>
      <w:r>
        <w:rPr>
          <w:lang w:val="nl-NL"/>
        </w:rPr>
        <w:t>Các sở, ban, ngành tỉnh; UBND các huyện, thị xã, thành phố; Trung tâm khuyến công và tư vấn phát triển công nghiệp; các cơ sở công nghiệp nông thôn trên địa bàn tỉnh Điện Biên và các cơ quan, đơn vị, cá nhân có liên quan.</w:t>
      </w:r>
    </w:p>
    <w:p>
      <w:pPr>
        <w:widowControl w:val="0"/>
        <w:spacing w:before="120" w:after="120"/>
        <w:ind w:firstLine="720"/>
        <w:jc w:val="both"/>
        <w:rPr>
          <w:lang w:val="nl-NL"/>
        </w:rPr>
      </w:pPr>
      <w:r>
        <w:rPr>
          <w:b/>
          <w:lang w:val="nl-NL"/>
        </w:rPr>
        <w:t>2. Nguồn kinh phí</w:t>
      </w:r>
    </w:p>
    <w:p>
      <w:pPr>
        <w:widowControl w:val="0"/>
        <w:spacing w:before="120" w:after="120"/>
        <w:ind w:firstLine="720"/>
        <w:jc w:val="both"/>
        <w:rPr>
          <w:lang w:val="nl-NL"/>
        </w:rPr>
      </w:pPr>
      <w:r>
        <w:rPr>
          <w:lang w:val="nl-NL"/>
        </w:rPr>
        <w:t xml:space="preserve">Ngân sách Tỉnh đảm bảo kinh phí cho hoạt động khuyến công địa phương trên địa bàn tỉnh Điện Biên. </w:t>
      </w:r>
    </w:p>
    <w:p>
      <w:pPr>
        <w:widowControl w:val="0"/>
        <w:spacing w:before="120" w:after="120"/>
        <w:ind w:firstLine="720"/>
        <w:jc w:val="both"/>
        <w:rPr>
          <w:b/>
          <w:lang w:val="nl-NL"/>
        </w:rPr>
      </w:pPr>
      <w:r>
        <w:rPr>
          <w:b/>
          <w:lang w:val="nl-NL"/>
        </w:rPr>
        <w:t>3. Thời gian trình thông qua, ban hành</w:t>
      </w:r>
    </w:p>
    <w:p>
      <w:pPr>
        <w:widowControl w:val="0"/>
        <w:spacing w:before="120" w:after="120"/>
        <w:ind w:firstLine="720"/>
        <w:jc w:val="both"/>
        <w:rPr>
          <w:lang w:val="nl-NL"/>
        </w:rPr>
      </w:pPr>
      <w:r>
        <w:rPr>
          <w:lang w:val="nl-NL"/>
        </w:rPr>
        <w:t>Thời gian trình: Tại kỳ họp Ủy ban nhân nhân dân tỉnh, tháng 6 năm 2025. Sau khi HĐND tỉnh thông qua Nghị quyết quy định nội dung chi và mức chi hoạt động khuyến công trên địa bàn tỉnh Điện Biên.</w:t>
      </w:r>
    </w:p>
    <w:p>
      <w:pPr>
        <w:widowControl w:val="0"/>
        <w:spacing w:before="120" w:after="120"/>
        <w:ind w:firstLine="720"/>
        <w:jc w:val="both"/>
      </w:pPr>
      <w:r>
        <w:rPr>
          <w:lang w:val="nl-NL"/>
        </w:rPr>
        <w:t>Trên đây là Tờ trình Dự thảo Quyết định sửa đổi, bổ sung một số điều của Quyết định số 24/2022/QĐ-UBND ngày 19 tháng 7 năm 2022 của Ủy ban nhân dân tỉnh Điện Biên ban hành Quy chế quản lý kinh phí khuyến công và mức chi cụ thể cho hoạt động khuyến công địa phương tỉnh Điện Biên. Sở Công Thương</w:t>
      </w:r>
      <w:r>
        <w:rPr>
          <w:lang w:val="vi-VN"/>
        </w:rPr>
        <w:t xml:space="preserve"> kính trình </w:t>
      </w:r>
      <w:r>
        <w:rPr>
          <w:lang w:val="nl-NL"/>
        </w:rPr>
        <w:t>Ủy ban nhân dân tỉnh Điện Biên</w:t>
      </w:r>
      <w:r>
        <w:rPr>
          <w:lang w:val="vi-VN"/>
        </w:rPr>
        <w:t xml:space="preserve"> xem xét, quyết định./.</w:t>
      </w:r>
    </w:p>
    <w:p>
      <w:pPr>
        <w:widowControl w:val="0"/>
        <w:spacing w:before="120" w:after="120"/>
        <w:ind w:firstLine="720"/>
        <w:jc w:val="both"/>
        <w:rPr>
          <w:sz w:val="6"/>
        </w:rPr>
      </w:pPr>
    </w:p>
    <w:tbl>
      <w:tblPr>
        <w:tblW w:w="0" w:type="auto"/>
        <w:tblInd w:w="108" w:type="dxa"/>
        <w:tblBorders>
          <w:insideH w:val="single" w:sz="4" w:space="0" w:color="auto"/>
        </w:tblBorders>
        <w:tblLook w:val="01E0" w:firstRow="1" w:lastRow="1" w:firstColumn="1" w:lastColumn="1" w:noHBand="0" w:noVBand="0"/>
      </w:tblPr>
      <w:tblGrid>
        <w:gridCol w:w="4428"/>
        <w:gridCol w:w="4644"/>
      </w:tblGrid>
      <w:tr>
        <w:trPr>
          <w:trHeight w:val="2076"/>
        </w:trPr>
        <w:tc>
          <w:tcPr>
            <w:tcW w:w="4428" w:type="dxa"/>
          </w:tcPr>
          <w:p>
            <w:pPr>
              <w:widowControl w:val="0"/>
              <w:jc w:val="both"/>
              <w:rPr>
                <w:b/>
                <w:i/>
                <w:sz w:val="24"/>
                <w:lang w:val="nl-NL"/>
              </w:rPr>
            </w:pPr>
            <w:r>
              <w:rPr>
                <w:b/>
                <w:i/>
                <w:sz w:val="24"/>
                <w:lang w:val="nl-NL"/>
              </w:rPr>
              <w:t>Nơi nhận:</w:t>
            </w:r>
          </w:p>
          <w:p>
            <w:pPr>
              <w:widowControl w:val="0"/>
              <w:jc w:val="both"/>
              <w:rPr>
                <w:sz w:val="22"/>
                <w:szCs w:val="22"/>
                <w:lang w:val="nl-NL"/>
              </w:rPr>
            </w:pPr>
            <w:r>
              <w:rPr>
                <w:sz w:val="22"/>
                <w:szCs w:val="22"/>
                <w:lang w:val="nl-NL"/>
              </w:rPr>
              <w:t>- Như trên;</w:t>
            </w:r>
          </w:p>
          <w:p>
            <w:pPr>
              <w:widowControl w:val="0"/>
              <w:jc w:val="both"/>
              <w:rPr>
                <w:sz w:val="22"/>
                <w:szCs w:val="22"/>
                <w:lang w:val="vi-VN"/>
              </w:rPr>
            </w:pPr>
            <w:r>
              <w:rPr>
                <w:sz w:val="22"/>
                <w:szCs w:val="22"/>
                <w:lang w:val="nl-NL"/>
              </w:rPr>
              <w:t>- Sở Tư pháp;</w:t>
            </w:r>
            <w:r>
              <w:rPr>
                <w:sz w:val="22"/>
                <w:szCs w:val="22"/>
                <w:lang w:val="vi-VN"/>
              </w:rPr>
              <w:t xml:space="preserve"> </w:t>
            </w:r>
          </w:p>
          <w:p>
            <w:pPr>
              <w:widowControl w:val="0"/>
              <w:jc w:val="both"/>
              <w:rPr>
                <w:sz w:val="22"/>
                <w:szCs w:val="22"/>
                <w:lang w:val="vi-VN"/>
              </w:rPr>
            </w:pPr>
            <w:r>
              <w:rPr>
                <w:sz w:val="22"/>
                <w:szCs w:val="22"/>
                <w:lang w:val="vi-VN"/>
              </w:rPr>
              <w:t>-</w:t>
            </w:r>
            <w:r>
              <w:rPr>
                <w:sz w:val="22"/>
                <w:szCs w:val="22"/>
              </w:rPr>
              <w:t xml:space="preserve"> Lãnh đạo Sở</w:t>
            </w:r>
            <w:r>
              <w:rPr>
                <w:sz w:val="22"/>
                <w:szCs w:val="22"/>
                <w:lang w:val="vi-VN"/>
              </w:rPr>
              <w:t>;</w:t>
            </w:r>
          </w:p>
          <w:p>
            <w:pPr>
              <w:widowControl w:val="0"/>
              <w:jc w:val="both"/>
              <w:rPr>
                <w:lang w:val="vi-VN"/>
              </w:rPr>
            </w:pPr>
            <w:r>
              <w:rPr>
                <w:sz w:val="22"/>
                <w:szCs w:val="22"/>
                <w:lang w:val="nl-NL"/>
              </w:rPr>
              <w:t>- Lưu: VT, TTr, QLCN</w:t>
            </w:r>
            <w:r>
              <w:rPr>
                <w:sz w:val="22"/>
                <w:szCs w:val="22"/>
                <w:lang w:val="vi-VN"/>
              </w:rPr>
              <w:t>,NL</w:t>
            </w:r>
            <w:r>
              <w:rPr>
                <w:sz w:val="22"/>
                <w:szCs w:val="22"/>
                <w:lang w:val="nl-NL"/>
              </w:rPr>
              <w:t>.</w:t>
            </w:r>
          </w:p>
        </w:tc>
        <w:tc>
          <w:tcPr>
            <w:tcW w:w="4644" w:type="dxa"/>
          </w:tcPr>
          <w:p>
            <w:pPr>
              <w:widowControl w:val="0"/>
              <w:jc w:val="center"/>
              <w:rPr>
                <w:b/>
                <w:szCs w:val="26"/>
              </w:rPr>
            </w:pPr>
            <w:r>
              <w:rPr>
                <w:b/>
                <w:szCs w:val="26"/>
              </w:rPr>
              <w:t xml:space="preserve">  </w:t>
            </w:r>
            <w:r>
              <w:rPr>
                <w:b/>
                <w:szCs w:val="26"/>
                <w:lang w:val="vi-VN"/>
              </w:rPr>
              <w:t>GIÁM ĐỐC</w:t>
            </w:r>
          </w:p>
          <w:p>
            <w:pPr>
              <w:widowControl w:val="0"/>
              <w:jc w:val="center"/>
              <w:rPr>
                <w:b/>
                <w:szCs w:val="26"/>
              </w:rPr>
            </w:pPr>
            <w:r>
              <w:rPr>
                <w:b/>
                <w:szCs w:val="26"/>
              </w:rPr>
              <w:t xml:space="preserve"> </w:t>
            </w:r>
          </w:p>
          <w:p>
            <w:pPr>
              <w:widowControl w:val="0"/>
              <w:jc w:val="center"/>
              <w:rPr>
                <w:b/>
              </w:rPr>
            </w:pPr>
          </w:p>
          <w:p>
            <w:pPr>
              <w:widowControl w:val="0"/>
              <w:jc w:val="center"/>
              <w:rPr>
                <w:b/>
              </w:rPr>
            </w:pPr>
          </w:p>
          <w:p>
            <w:pPr>
              <w:widowControl w:val="0"/>
              <w:jc w:val="center"/>
              <w:rPr>
                <w:b/>
              </w:rPr>
            </w:pPr>
          </w:p>
          <w:p>
            <w:pPr>
              <w:widowControl w:val="0"/>
              <w:jc w:val="center"/>
              <w:rPr>
                <w:b/>
              </w:rPr>
            </w:pPr>
          </w:p>
          <w:p>
            <w:pPr>
              <w:widowControl w:val="0"/>
              <w:jc w:val="center"/>
              <w:rPr>
                <w:b/>
                <w:szCs w:val="26"/>
              </w:rPr>
            </w:pPr>
            <w:r>
              <w:rPr>
                <w:b/>
              </w:rPr>
              <w:t>Vũ Hồng Sơn</w:t>
            </w:r>
          </w:p>
        </w:tc>
      </w:tr>
    </w:tbl>
    <w:p>
      <w:pPr>
        <w:rPr>
          <w:sz w:val="2"/>
        </w:rPr>
      </w:pPr>
    </w:p>
    <w:p>
      <w:pPr>
        <w:rPr>
          <w:sz w:val="2"/>
        </w:rPr>
      </w:pPr>
      <w:r>
        <w:rPr>
          <w:sz w:val="2"/>
        </w:rPr>
        <w:br w:type="page"/>
      </w:r>
    </w:p>
    <w:tbl>
      <w:tblPr>
        <w:tblW w:w="9360" w:type="dxa"/>
        <w:tblInd w:w="108" w:type="dxa"/>
        <w:tblLook w:val="01E0" w:firstRow="1" w:lastRow="1" w:firstColumn="1" w:lastColumn="1" w:noHBand="0" w:noVBand="0"/>
      </w:tblPr>
      <w:tblGrid>
        <w:gridCol w:w="3476"/>
        <w:gridCol w:w="5884"/>
      </w:tblGrid>
      <w:tr>
        <w:trPr>
          <w:trHeight w:val="1213"/>
        </w:trPr>
        <w:tc>
          <w:tcPr>
            <w:tcW w:w="3476" w:type="dxa"/>
          </w:tcPr>
          <w:p>
            <w:pPr>
              <w:tabs>
                <w:tab w:val="left" w:pos="4743"/>
              </w:tabs>
              <w:jc w:val="center"/>
              <w:rPr>
                <w:rFonts w:eastAsia="Calibri"/>
                <w:b/>
                <w:sz w:val="26"/>
                <w:szCs w:val="26"/>
              </w:rPr>
            </w:pPr>
            <w:r>
              <w:rPr>
                <w:b/>
                <w:sz w:val="26"/>
                <w:szCs w:val="26"/>
              </w:rPr>
              <w:lastRenderedPageBreak/>
              <w:t xml:space="preserve">ỦY BAN NHÂN DÂN </w:t>
            </w:r>
            <w:r>
              <w:rPr>
                <w:sz w:val="26"/>
                <w:szCs w:val="26"/>
              </w:rPr>
              <w:br/>
            </w:r>
            <w:r>
              <w:rPr>
                <w:b/>
                <w:sz w:val="26"/>
                <w:szCs w:val="26"/>
              </w:rPr>
              <w:t>TỈNH ĐIỆN BIÊN</w:t>
            </w:r>
          </w:p>
          <w:p>
            <w:pPr>
              <w:tabs>
                <w:tab w:val="left" w:pos="4743"/>
              </w:tabs>
              <w:jc w:val="center"/>
              <w:rPr>
                <w:rFonts w:eastAsia="Calibri"/>
                <w:b/>
                <w:sz w:val="26"/>
                <w:szCs w:val="26"/>
              </w:rPr>
            </w:pPr>
            <w:r>
              <w:rPr>
                <w:b/>
                <w:noProof/>
                <w:sz w:val="26"/>
                <w:szCs w:val="26"/>
              </w:rPr>
              <mc:AlternateContent>
                <mc:Choice Requires="wps">
                  <w:drawing>
                    <wp:anchor distT="0" distB="0" distL="114300" distR="114300" simplePos="0" relativeHeight="251666432" behindDoc="0" locked="0" layoutInCell="1" allowOverlap="1">
                      <wp:simplePos x="0" y="0"/>
                      <wp:positionH relativeFrom="column">
                        <wp:posOffset>751840</wp:posOffset>
                      </wp:positionH>
                      <wp:positionV relativeFrom="paragraph">
                        <wp:posOffset>41910</wp:posOffset>
                      </wp:positionV>
                      <wp:extent cx="571500" cy="0"/>
                      <wp:effectExtent l="5080" t="8255" r="13970" b="1079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2pt,3.3pt" to="104.2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U6YHAIAADU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"/>
                  </w:pict>
                </mc:Fallback>
              </mc:AlternateContent>
            </w:r>
          </w:p>
          <w:p>
            <w:pPr>
              <w:tabs>
                <w:tab w:val="left" w:pos="4743"/>
              </w:tabs>
              <w:jc w:val="center"/>
            </w:pPr>
            <w:r>
              <w:t xml:space="preserve">Số:          /2025/QĐ-UBND </w:t>
            </w:r>
          </w:p>
          <w:p>
            <w:pPr>
              <w:tabs>
                <w:tab w:val="left" w:pos="4743"/>
              </w:tabs>
              <w:jc w:val="center"/>
            </w:pPr>
            <w:r>
              <w:rPr>
                <w:b/>
                <w:noProof/>
              </w:rPr>
              <mc:AlternateContent>
                <mc:Choice Requires="wps">
                  <w:drawing>
                    <wp:anchor distT="0" distB="0" distL="114300" distR="114300" simplePos="0" relativeHeight="251667456" behindDoc="0" locked="0" layoutInCell="1" allowOverlap="1">
                      <wp:simplePos x="0" y="0"/>
                      <wp:positionH relativeFrom="column">
                        <wp:posOffset>332023</wp:posOffset>
                      </wp:positionH>
                      <wp:positionV relativeFrom="paragraph">
                        <wp:posOffset>175362</wp:posOffset>
                      </wp:positionV>
                      <wp:extent cx="1384689" cy="276225"/>
                      <wp:effectExtent l="0" t="0" r="25400" b="28575"/>
                      <wp:wrapNone/>
                      <wp:docPr id="4" name="Rectangle 4"/>
                      <wp:cNvGraphicFramePr/>
                      <a:graphic xmlns:a="http://schemas.openxmlformats.org/drawingml/2006/main">
                        <a:graphicData uri="http://schemas.microsoft.com/office/word/2010/wordprocessingShape">
                          <wps:wsp>
                            <wps:cNvSpPr/>
                            <wps:spPr>
                              <a:xfrm>
                                <a:off x="0" y="0"/>
                                <a:ext cx="1384689" cy="2762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26.15pt;margin-top:13.8pt;width:109.05pt;height:2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" filled="f" strokecolor="black [3213]" strokeweight=".5pt"/>
                  </w:pict>
                </mc:Fallback>
              </mc:AlternateContent>
            </w:r>
          </w:p>
          <w:p>
            <w:pPr>
              <w:tabs>
                <w:tab w:val="left" w:pos="4743"/>
              </w:tabs>
              <w:jc w:val="center"/>
              <w:rPr>
                <w:sz w:val="26"/>
                <w:szCs w:val="26"/>
              </w:rPr>
            </w:pPr>
            <w:r>
              <w:rPr>
                <w:sz w:val="26"/>
                <w:szCs w:val="26"/>
              </w:rPr>
              <w:t>DỰ THẢO 1</w:t>
            </w:r>
          </w:p>
          <w:p>
            <w:pPr>
              <w:tabs>
                <w:tab w:val="left" w:pos="4743"/>
              </w:tabs>
              <w:jc w:val="center"/>
              <w:rPr>
                <w:rFonts w:eastAsia="Calibri"/>
                <w:b/>
                <w:sz w:val="26"/>
                <w:szCs w:val="26"/>
              </w:rPr>
            </w:pPr>
            <w:r>
              <w:t xml:space="preserve">    </w:t>
            </w:r>
            <w:r>
              <w:rPr>
                <w:b/>
              </w:rPr>
              <w:t xml:space="preserve">      </w:t>
            </w:r>
          </w:p>
        </w:tc>
        <w:tc>
          <w:tcPr>
            <w:tcW w:w="5884" w:type="dxa"/>
          </w:tcPr>
          <w:p>
            <w:pPr>
              <w:tabs>
                <w:tab w:val="left" w:pos="4743"/>
              </w:tabs>
              <w:jc w:val="center"/>
              <w:rPr>
                <w:rFonts w:eastAsia="Calibri"/>
                <w:b/>
                <w:sz w:val="26"/>
                <w:szCs w:val="26"/>
              </w:rPr>
            </w:pPr>
            <w:r>
              <w:rPr>
                <w:b/>
                <w:sz w:val="26"/>
                <w:szCs w:val="26"/>
              </w:rPr>
              <w:t>CỘNG HÒA XÃ HỘI CHỦ NGHĨA VIỆT NAM</w:t>
            </w:r>
          </w:p>
          <w:p>
            <w:pPr>
              <w:tabs>
                <w:tab w:val="left" w:pos="4743"/>
              </w:tabs>
              <w:jc w:val="center"/>
              <w:rPr>
                <w:i/>
              </w:rPr>
            </w:pPr>
            <w:r>
              <w:rPr>
                <w:b/>
              </w:rPr>
              <w:t>Độc lập - Tự do - Hạnh phúc</w:t>
            </w:r>
          </w:p>
          <w:p>
            <w:pPr>
              <w:tabs>
                <w:tab w:val="left" w:pos="4743"/>
              </w:tabs>
              <w:jc w:val="center"/>
              <w:rPr>
                <w:i/>
              </w:rPr>
            </w:pPr>
            <w:r>
              <w:rPr>
                <w:noProof/>
                <w:szCs w:val="22"/>
              </w:rPr>
              <mc:AlternateContent>
                <mc:Choice Requires="wps">
                  <w:drawing>
                    <wp:anchor distT="0" distB="0" distL="114300" distR="114300" simplePos="0" relativeHeight="251665408" behindDoc="0" locked="0" layoutInCell="1" allowOverlap="1">
                      <wp:simplePos x="0" y="0"/>
                      <wp:positionH relativeFrom="column">
                        <wp:align>center</wp:align>
                      </wp:positionH>
                      <wp:positionV relativeFrom="paragraph">
                        <wp:posOffset>37465</wp:posOffset>
                      </wp:positionV>
                      <wp:extent cx="2081530" cy="0"/>
                      <wp:effectExtent l="7620" t="8255" r="6350" b="1079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15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540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2.95pt" to="163.9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"/>
                  </w:pict>
                </mc:Fallback>
              </mc:AlternateContent>
            </w:r>
          </w:p>
          <w:p>
            <w:pPr>
              <w:tabs>
                <w:tab w:val="left" w:pos="4743"/>
              </w:tabs>
              <w:spacing w:line="276" w:lineRule="auto"/>
              <w:jc w:val="right"/>
              <w:rPr>
                <w:rFonts w:eastAsia="Calibri"/>
                <w:b/>
              </w:rPr>
            </w:pPr>
            <w:r>
              <w:rPr>
                <w:i/>
              </w:rPr>
              <w:t xml:space="preserve">Điện Biên, ngày         tháng  </w:t>
            </w:r>
            <w:r>
              <w:rPr>
                <w:i/>
                <w:lang w:val="vi-VN"/>
              </w:rPr>
              <w:t xml:space="preserve"> </w:t>
            </w:r>
            <w:bookmarkStart w:id="0" w:name="_GoBack"/>
            <w:bookmarkEnd w:id="0"/>
            <w:r>
              <w:rPr>
                <w:i/>
              </w:rPr>
              <w:t xml:space="preserve">  năm 2025</w:t>
            </w:r>
          </w:p>
        </w:tc>
      </w:tr>
    </w:tbl>
    <w:p>
      <w:pPr>
        <w:tabs>
          <w:tab w:val="left" w:pos="540"/>
          <w:tab w:val="left" w:pos="4743"/>
        </w:tabs>
        <w:jc w:val="center"/>
        <w:rPr>
          <w:b/>
          <w:sz w:val="26"/>
          <w:szCs w:val="26"/>
        </w:rPr>
      </w:pPr>
    </w:p>
    <w:p>
      <w:pPr>
        <w:tabs>
          <w:tab w:val="left" w:pos="540"/>
          <w:tab w:val="left" w:pos="4743"/>
        </w:tabs>
        <w:jc w:val="center"/>
        <w:rPr>
          <w:rFonts w:eastAsia="Calibri"/>
          <w:b/>
          <w:sz w:val="26"/>
          <w:szCs w:val="26"/>
        </w:rPr>
      </w:pPr>
      <w:r>
        <w:rPr>
          <w:b/>
          <w:sz w:val="26"/>
          <w:szCs w:val="26"/>
        </w:rPr>
        <w:t>QUYẾT ĐỊNH</w:t>
      </w:r>
    </w:p>
    <w:p>
      <w:pPr>
        <w:tabs>
          <w:tab w:val="left" w:pos="4743"/>
        </w:tabs>
        <w:jc w:val="center"/>
        <w:rPr>
          <w:b/>
        </w:rPr>
      </w:pPr>
      <w:r>
        <w:rPr>
          <w:b/>
        </w:rPr>
        <w:t>Sửa đổi, bổ sung một số điều của Quyết định số 24/2022/QĐ-UBND ngày 19 tháng 7 năm 2022 của Ủy ban nhân dân tỉnh Điện Biên ban hành Quy chế quản lý kinh phí khuyến công và mức chi cụ thể cho hoạt động khuyến công địa phương tỉnh Điện Biên</w:t>
      </w:r>
    </w:p>
    <w:p>
      <w:pPr>
        <w:tabs>
          <w:tab w:val="left" w:pos="4743"/>
        </w:tabs>
        <w:spacing w:before="120" w:after="120"/>
        <w:jc w:val="center"/>
        <w:rPr>
          <w:b/>
          <w:sz w:val="2"/>
        </w:rPr>
      </w:pPr>
      <w:r>
        <w:rPr>
          <w:b/>
          <w:noProof/>
          <w:sz w:val="2"/>
        </w:rPr>
        <mc:AlternateContent>
          <mc:Choice Requires="wps">
            <w:drawing>
              <wp:anchor distT="0" distB="0" distL="114300" distR="114300" simplePos="0" relativeHeight="251668480" behindDoc="0" locked="0" layoutInCell="1" allowOverlap="1">
                <wp:simplePos x="0" y="0"/>
                <wp:positionH relativeFrom="column">
                  <wp:posOffset>2570029</wp:posOffset>
                </wp:positionH>
                <wp:positionV relativeFrom="paragraph">
                  <wp:posOffset>10160</wp:posOffset>
                </wp:positionV>
                <wp:extent cx="690225" cy="0"/>
                <wp:effectExtent l="0" t="0" r="15240" b="19050"/>
                <wp:wrapNone/>
                <wp:docPr id="7" name="Straight Connector 7"/>
                <wp:cNvGraphicFramePr/>
                <a:graphic xmlns:a="http://schemas.openxmlformats.org/drawingml/2006/main">
                  <a:graphicData uri="http://schemas.microsoft.com/office/word/2010/wordprocessingShape">
                    <wps:wsp>
                      <wps:cNvCnPr/>
                      <wps:spPr>
                        <a:xfrm>
                          <a:off x="0" y="0"/>
                          <a:ext cx="6902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7"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202.35pt,.8pt" to="256.7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" strokecolor="#4579b8 [3044]"/>
            </w:pict>
          </mc:Fallback>
        </mc:AlternateContent>
      </w:r>
    </w:p>
    <w:p>
      <w:pPr>
        <w:tabs>
          <w:tab w:val="left" w:pos="4743"/>
        </w:tabs>
        <w:spacing w:before="240" w:after="120"/>
        <w:jc w:val="center"/>
        <w:rPr>
          <w:b/>
          <w:sz w:val="26"/>
          <w:szCs w:val="26"/>
        </w:rPr>
      </w:pPr>
      <w:r>
        <w:rPr>
          <w:b/>
          <w:sz w:val="26"/>
          <w:szCs w:val="26"/>
        </w:rPr>
        <w:t>ỦY BAN NHÂN DÂN TỈNH ĐIỆN BIÊN</w:t>
      </w:r>
    </w:p>
    <w:p>
      <w:pPr>
        <w:tabs>
          <w:tab w:val="left" w:pos="4743"/>
        </w:tabs>
        <w:spacing w:before="120" w:after="120"/>
        <w:jc w:val="center"/>
        <w:rPr>
          <w:sz w:val="2"/>
        </w:rPr>
      </w:pPr>
    </w:p>
    <w:p>
      <w:pPr>
        <w:spacing w:before="120" w:after="120"/>
        <w:ind w:firstLine="720"/>
        <w:jc w:val="both"/>
      </w:pPr>
      <w:r>
        <w:rPr>
          <w:i/>
          <w:spacing w:val="-2"/>
        </w:rPr>
        <w:t xml:space="preserve"> </w:t>
      </w:r>
      <w:r>
        <w:rPr>
          <w:i/>
          <w:iCs/>
        </w:rPr>
        <w:t>Căn cứ Luật Tổ chức chính quyền địa phương ngày 19 tháng 02 năm 2025;</w:t>
      </w:r>
    </w:p>
    <w:p>
      <w:pPr>
        <w:spacing w:before="120" w:after="120"/>
        <w:ind w:firstLine="720"/>
        <w:jc w:val="both"/>
      </w:pPr>
      <w:r>
        <w:rPr>
          <w:i/>
          <w:iCs/>
        </w:rPr>
        <w:t>Căn cứ Luật Ngân sách nhà nước ngày 25 tháng 6 năm 2015;</w:t>
      </w:r>
    </w:p>
    <w:p>
      <w:pPr>
        <w:spacing w:before="120" w:after="120"/>
        <w:ind w:firstLine="720"/>
        <w:jc w:val="both"/>
      </w:pPr>
      <w:r>
        <w:rPr>
          <w:i/>
          <w:iCs/>
        </w:rPr>
        <w:t>Căn cứ Nghị định số 45/2012/NĐ-CP ngày 21 tháng 5 năm 2012 của Chính phủ về khuyến công; Nghị định số      /2025/NĐ-CP ngày  tháng  năm 2025 của Chính Phủ Sửa đổi, bổ sung một số điều của Nghị định số 45/2012/NĐ-CP ngày 21 tháng 5 năm 2012 của Chính phủ về khuyến công;</w:t>
      </w:r>
    </w:p>
    <w:p>
      <w:pPr>
        <w:spacing w:before="120" w:after="120"/>
        <w:ind w:firstLine="720"/>
        <w:jc w:val="both"/>
      </w:pPr>
      <w:r>
        <w:rPr>
          <w:i/>
          <w:iCs/>
        </w:rPr>
        <w:t>Căn cứ Thông tư số 46/2012/TT-BCT ngày 28 tháng 12 năm 2012 của Bộ trưởng Bộ Công Thương quy định chi tiết một số nội dung của Nghị định số 45/2012/NĐ-CP ngày 21 tháng 5 năm 2012 của Chính phủ về khuyến công; Thông tư số 20/2017/TT-BCT ngày 29 tháng 9 năm 2017 của Bộ trưởng Bộ Công Thương sửa đổi, bổ sung một số điều của Thông tư số 46/2012/TT-BCT ngày 28 tháng 12 năm 2012 của Bộ trưởng Bộ Công Thương quy định chi tiết một số nội dung của Nghị định số 45/2012/NĐ-CP ngày 21 tháng 5 năm 2012 của Chính phủ về khuyến công;</w:t>
      </w:r>
    </w:p>
    <w:p>
      <w:pPr>
        <w:spacing w:before="120" w:after="120"/>
        <w:ind w:firstLine="720"/>
        <w:jc w:val="both"/>
      </w:pPr>
      <w:r>
        <w:rPr>
          <w:i/>
          <w:iCs/>
        </w:rPr>
        <w:t>Căn cứ Thông tư số 28/2018/TT-BTC ngày 28 tháng 3 năm 2018 của Bộ trưởng Bộ Tài chính hướng dẫn lập, quản lý, sử dụng kinh phí khuyến công; Thông tư số 64/2024/TT-BTC ngày 28 tháng 8 năm 2024 của Bộ trưởng Bộ Tài chính sửa đổi, bổ sung một số điều của Thông tư số 28/2018/TT-BTC ngày 28 tháng 3 năm 2018 của Bộ trưởng Bộ Tài chính hướng dẫn lập, quản lý, sử dụng kinh phí khuyến công;</w:t>
      </w:r>
    </w:p>
    <w:p>
      <w:pPr>
        <w:tabs>
          <w:tab w:val="left" w:pos="4743"/>
        </w:tabs>
        <w:spacing w:before="80"/>
        <w:ind w:firstLine="709"/>
        <w:jc w:val="both"/>
        <w:rPr>
          <w:bCs/>
          <w:i/>
        </w:rPr>
      </w:pPr>
      <w:r>
        <w:rPr>
          <w:bCs/>
          <w:i/>
        </w:rPr>
        <w:t>Theo đề nghị của Giám đốc Sở Công Thương tại Tờ trình số      /TTr-SCT ngày    tháng   năm 2025;</w:t>
      </w:r>
    </w:p>
    <w:p>
      <w:pPr>
        <w:tabs>
          <w:tab w:val="left" w:pos="4743"/>
          <w:tab w:val="left" w:pos="5415"/>
        </w:tabs>
        <w:spacing w:before="80"/>
        <w:jc w:val="center"/>
        <w:rPr>
          <w:b/>
        </w:rPr>
      </w:pPr>
      <w:r>
        <w:rPr>
          <w:b/>
        </w:rPr>
        <w:t>QUYẾT ĐỊNH:</w:t>
      </w:r>
    </w:p>
    <w:p>
      <w:pPr>
        <w:tabs>
          <w:tab w:val="left" w:pos="4743"/>
        </w:tabs>
        <w:spacing w:before="80"/>
        <w:ind w:firstLine="720"/>
        <w:jc w:val="both"/>
      </w:pPr>
      <w:r>
        <w:rPr>
          <w:b/>
        </w:rPr>
        <w:t>Điều 1.</w:t>
      </w:r>
      <w:r>
        <w:t xml:space="preserve"> Sửa đổi, bổ sung một số điều của Quyết định số 24/2022/QĐ-UBND ngày 19 tháng 7 năm 2022 của Ủy ban nhân dân tỉnh Điện Biên ban hành Quy chế quản lý kinh phí khuyến công và mức chi cụ thể cho hoạt động khuyến công địa phương tỉnh Điện Biên như sau:</w:t>
      </w:r>
    </w:p>
    <w:p>
      <w:pPr>
        <w:tabs>
          <w:tab w:val="left" w:pos="4743"/>
        </w:tabs>
        <w:spacing w:before="80"/>
        <w:ind w:firstLine="720"/>
        <w:jc w:val="both"/>
      </w:pPr>
      <w:r>
        <w:lastRenderedPageBreak/>
        <w:t>1. Sửa đổi, bổ sung khoản 1, Điều 1 như sau:</w:t>
      </w:r>
    </w:p>
    <w:p>
      <w:pPr>
        <w:tabs>
          <w:tab w:val="left" w:pos="4743"/>
        </w:tabs>
        <w:spacing w:before="80"/>
        <w:ind w:firstLine="720"/>
        <w:jc w:val="both"/>
      </w:pPr>
      <w:r>
        <w:t>“1. Phạm vi điều chỉnh</w:t>
      </w:r>
    </w:p>
    <w:p>
      <w:pPr>
        <w:tabs>
          <w:tab w:val="left" w:pos="4743"/>
        </w:tabs>
        <w:spacing w:before="80"/>
        <w:ind w:firstLine="720"/>
        <w:jc w:val="both"/>
      </w:pPr>
      <w:r>
        <w:t>Quy chế này quy định về quản lý kinh phí khuyến công địa phương tỉnh Điện Biên”</w:t>
      </w:r>
    </w:p>
    <w:p>
      <w:pPr>
        <w:tabs>
          <w:tab w:val="left" w:pos="4743"/>
        </w:tabs>
        <w:spacing w:before="80"/>
        <w:ind w:firstLine="720"/>
        <w:jc w:val="both"/>
      </w:pPr>
      <w:r>
        <w:t>2. Bãi bỏ Chương II. Nội dung và mức chi hoạt động khuyến công địa phương.</w:t>
      </w:r>
    </w:p>
    <w:p>
      <w:pPr>
        <w:tabs>
          <w:tab w:val="left" w:pos="4743"/>
        </w:tabs>
        <w:spacing w:before="80"/>
        <w:ind w:firstLine="720"/>
        <w:jc w:val="both"/>
      </w:pPr>
      <w:r>
        <w:rPr>
          <w:b/>
        </w:rPr>
        <w:t>Điều 2.</w:t>
      </w:r>
      <w:r>
        <w:t xml:space="preserve"> Quyết định này có hiệu lực thi hành từ ngày     tháng     năm 2025. </w:t>
      </w:r>
    </w:p>
    <w:p>
      <w:pPr>
        <w:tabs>
          <w:tab w:val="left" w:pos="4743"/>
        </w:tabs>
        <w:spacing w:before="80"/>
        <w:ind w:firstLine="720"/>
        <w:jc w:val="both"/>
      </w:pPr>
      <w:r>
        <w:rPr>
          <w:b/>
        </w:rPr>
        <w:t>Điều 3.</w:t>
      </w:r>
      <w:r>
        <w:t xml:space="preserve"> Chánh Văn phòng UBND tỉnh, Thủ trưởng các cơ quan chuyên môn thuộc UBND tỉnh; Chủ tịch Ủy ban nhân dân các huyện, thị xã, thành phố  và các cơ quan, tổ chức, cá nhân có liên quan chịu trách nhiệm thi hành Quyết định này./.</w:t>
      </w:r>
    </w:p>
    <w:p>
      <w:pPr>
        <w:tabs>
          <w:tab w:val="left" w:pos="4743"/>
        </w:tabs>
        <w:ind w:firstLine="720"/>
        <w:jc w:val="both"/>
        <w:rPr>
          <w:sz w:val="12"/>
        </w:rPr>
      </w:pPr>
    </w:p>
    <w:tbl>
      <w:tblPr>
        <w:tblW w:w="9072" w:type="dxa"/>
        <w:tblInd w:w="108" w:type="dxa"/>
        <w:tblLook w:val="01E0" w:firstRow="1" w:lastRow="1" w:firstColumn="1" w:lastColumn="1" w:noHBand="0" w:noVBand="0"/>
      </w:tblPr>
      <w:tblGrid>
        <w:gridCol w:w="4536"/>
        <w:gridCol w:w="4536"/>
      </w:tblGrid>
      <w:tr>
        <w:trPr>
          <w:trHeight w:val="3046"/>
        </w:trPr>
        <w:tc>
          <w:tcPr>
            <w:tcW w:w="4536" w:type="dxa"/>
            <w:shd w:val="clear" w:color="auto" w:fill="auto"/>
          </w:tcPr>
          <w:p>
            <w:pPr>
              <w:tabs>
                <w:tab w:val="left" w:pos="4743"/>
              </w:tabs>
              <w:jc w:val="both"/>
              <w:rPr>
                <w:rFonts w:eastAsia="Batang"/>
                <w:b/>
                <w:i/>
              </w:rPr>
            </w:pPr>
            <w:r>
              <w:rPr>
                <w:rFonts w:eastAsia="Batang"/>
                <w:b/>
                <w:i/>
              </w:rPr>
              <w:t>Nơi nhận:</w:t>
            </w:r>
          </w:p>
          <w:p>
            <w:pPr>
              <w:widowControl w:val="0"/>
              <w:jc w:val="both"/>
              <w:rPr>
                <w:sz w:val="22"/>
              </w:rPr>
            </w:pPr>
            <w:r>
              <w:rPr>
                <w:sz w:val="22"/>
              </w:rPr>
              <w:t>- Như Điều 3;</w:t>
            </w:r>
          </w:p>
          <w:p>
            <w:pPr>
              <w:widowControl w:val="0"/>
              <w:jc w:val="both"/>
              <w:rPr>
                <w:sz w:val="22"/>
              </w:rPr>
            </w:pPr>
            <w:r>
              <w:rPr>
                <w:sz w:val="22"/>
              </w:rPr>
              <w:t>- Văn phòng Chính phủ;</w:t>
            </w:r>
          </w:p>
          <w:p>
            <w:pPr>
              <w:widowControl w:val="0"/>
              <w:jc w:val="both"/>
              <w:rPr>
                <w:sz w:val="22"/>
              </w:rPr>
            </w:pPr>
            <w:r>
              <w:rPr>
                <w:sz w:val="22"/>
              </w:rPr>
              <w:t>- Bộ Công Thương;</w:t>
            </w:r>
          </w:p>
          <w:p>
            <w:pPr>
              <w:widowControl w:val="0"/>
              <w:jc w:val="both"/>
              <w:rPr>
                <w:sz w:val="22"/>
              </w:rPr>
            </w:pPr>
            <w:r>
              <w:rPr>
                <w:sz w:val="22"/>
              </w:rPr>
              <w:t>- Bộ Tài chính;</w:t>
            </w:r>
          </w:p>
          <w:p>
            <w:pPr>
              <w:widowControl w:val="0"/>
              <w:jc w:val="both"/>
              <w:rPr>
                <w:sz w:val="22"/>
              </w:rPr>
            </w:pPr>
            <w:r>
              <w:rPr>
                <w:sz w:val="22"/>
              </w:rPr>
              <w:t>- Thường trực Tỉnh ủy;</w:t>
            </w:r>
          </w:p>
          <w:p>
            <w:pPr>
              <w:widowControl w:val="0"/>
              <w:jc w:val="both"/>
              <w:rPr>
                <w:sz w:val="22"/>
              </w:rPr>
            </w:pPr>
            <w:r>
              <w:rPr>
                <w:sz w:val="22"/>
              </w:rPr>
              <w:t>- Thường trực HĐND tỉnh;</w:t>
            </w:r>
          </w:p>
          <w:p>
            <w:pPr>
              <w:widowControl w:val="0"/>
              <w:jc w:val="both"/>
              <w:rPr>
                <w:sz w:val="22"/>
              </w:rPr>
            </w:pPr>
            <w:r>
              <w:rPr>
                <w:sz w:val="22"/>
              </w:rPr>
              <w:t>- Lãnh đạo UBND tỉnh;</w:t>
            </w:r>
          </w:p>
          <w:p>
            <w:pPr>
              <w:widowControl w:val="0"/>
              <w:jc w:val="both"/>
              <w:rPr>
                <w:sz w:val="22"/>
              </w:rPr>
            </w:pPr>
            <w:r>
              <w:rPr>
                <w:sz w:val="22"/>
              </w:rPr>
              <w:t>- Ủy ban MTTQVN tỉnh;</w:t>
            </w:r>
          </w:p>
          <w:p>
            <w:pPr>
              <w:widowControl w:val="0"/>
              <w:jc w:val="both"/>
              <w:rPr>
                <w:sz w:val="22"/>
              </w:rPr>
            </w:pPr>
            <w:r>
              <w:rPr>
                <w:sz w:val="22"/>
              </w:rPr>
              <w:t>- Báo Điện Biên Phủ, Đài PTTH tỉnh;</w:t>
            </w:r>
          </w:p>
          <w:p>
            <w:pPr>
              <w:widowControl w:val="0"/>
              <w:jc w:val="both"/>
              <w:rPr>
                <w:sz w:val="22"/>
              </w:rPr>
            </w:pPr>
            <w:r>
              <w:rPr>
                <w:sz w:val="22"/>
              </w:rPr>
              <w:t>- Cổng TTĐT tỉnh, Trung tâm THCB tỉnh;</w:t>
            </w:r>
          </w:p>
          <w:p>
            <w:pPr>
              <w:tabs>
                <w:tab w:val="left" w:pos="4743"/>
                <w:tab w:val="left" w:pos="5415"/>
              </w:tabs>
              <w:jc w:val="both"/>
              <w:rPr>
                <w:rFonts w:eastAsia="Batang"/>
              </w:rPr>
            </w:pPr>
            <w:r>
              <w:rPr>
                <w:sz w:val="22"/>
              </w:rPr>
              <w:t>- Lưu: VT, KT.</w:t>
            </w:r>
          </w:p>
        </w:tc>
        <w:tc>
          <w:tcPr>
            <w:tcW w:w="4536" w:type="dxa"/>
            <w:shd w:val="clear" w:color="auto" w:fill="auto"/>
          </w:tcPr>
          <w:p>
            <w:pPr>
              <w:tabs>
                <w:tab w:val="left" w:pos="4743"/>
              </w:tabs>
              <w:jc w:val="center"/>
              <w:rPr>
                <w:rFonts w:eastAsia="Calibri"/>
                <w:b/>
                <w:sz w:val="26"/>
                <w:szCs w:val="26"/>
              </w:rPr>
            </w:pPr>
            <w:r>
              <w:rPr>
                <w:rFonts w:eastAsia="Batang"/>
                <w:b/>
                <w:sz w:val="26"/>
                <w:szCs w:val="26"/>
              </w:rPr>
              <w:t xml:space="preserve">   TM. ỦY BAN NHÂN DÂN</w:t>
            </w:r>
          </w:p>
          <w:p>
            <w:pPr>
              <w:tabs>
                <w:tab w:val="left" w:pos="4743"/>
              </w:tabs>
              <w:jc w:val="center"/>
              <w:rPr>
                <w:rFonts w:eastAsia="Batang"/>
                <w:b/>
                <w:sz w:val="26"/>
                <w:szCs w:val="26"/>
              </w:rPr>
            </w:pPr>
            <w:r>
              <w:rPr>
                <w:rFonts w:eastAsia="Batang"/>
                <w:b/>
                <w:sz w:val="26"/>
                <w:szCs w:val="26"/>
              </w:rPr>
              <w:t xml:space="preserve">   CHỦ TỊCH</w:t>
            </w:r>
          </w:p>
          <w:p>
            <w:pPr>
              <w:tabs>
                <w:tab w:val="left" w:pos="4743"/>
                <w:tab w:val="left" w:pos="5415"/>
              </w:tabs>
              <w:jc w:val="both"/>
              <w:rPr>
                <w:rFonts w:eastAsia="Calibri"/>
                <w:b/>
              </w:rPr>
            </w:pPr>
          </w:p>
          <w:p>
            <w:pPr>
              <w:tabs>
                <w:tab w:val="left" w:pos="4743"/>
                <w:tab w:val="left" w:pos="5415"/>
              </w:tabs>
              <w:jc w:val="both"/>
              <w:rPr>
                <w:rFonts w:eastAsia="Calibri"/>
                <w:b/>
              </w:rPr>
            </w:pPr>
          </w:p>
          <w:p>
            <w:pPr>
              <w:tabs>
                <w:tab w:val="left" w:pos="4743"/>
                <w:tab w:val="left" w:pos="5415"/>
              </w:tabs>
              <w:jc w:val="both"/>
              <w:rPr>
                <w:rFonts w:eastAsia="Calibri"/>
                <w:b/>
              </w:rPr>
            </w:pPr>
          </w:p>
          <w:p>
            <w:pPr>
              <w:tabs>
                <w:tab w:val="left" w:pos="4743"/>
                <w:tab w:val="left" w:pos="5415"/>
              </w:tabs>
              <w:jc w:val="both"/>
              <w:rPr>
                <w:rFonts w:eastAsia="Calibri"/>
                <w:b/>
              </w:rPr>
            </w:pPr>
          </w:p>
          <w:p>
            <w:pPr>
              <w:tabs>
                <w:tab w:val="left" w:pos="4743"/>
                <w:tab w:val="left" w:pos="5415"/>
              </w:tabs>
              <w:jc w:val="center"/>
              <w:rPr>
                <w:rFonts w:eastAsia="Calibri"/>
                <w:b/>
              </w:rPr>
            </w:pPr>
          </w:p>
          <w:p>
            <w:pPr>
              <w:tabs>
                <w:tab w:val="left" w:pos="4743"/>
                <w:tab w:val="left" w:pos="5415"/>
              </w:tabs>
              <w:jc w:val="center"/>
              <w:rPr>
                <w:rFonts w:eastAsia="Calibri"/>
                <w:b/>
              </w:rPr>
            </w:pPr>
          </w:p>
          <w:p>
            <w:pPr>
              <w:tabs>
                <w:tab w:val="left" w:pos="4743"/>
                <w:tab w:val="left" w:pos="5415"/>
              </w:tabs>
              <w:jc w:val="center"/>
              <w:rPr>
                <w:rFonts w:eastAsia="Batang"/>
              </w:rPr>
            </w:pPr>
            <w:r>
              <w:rPr>
                <w:rFonts w:eastAsia="Calibri"/>
                <w:b/>
              </w:rPr>
              <w:t xml:space="preserve">  Lê Thành Đô</w:t>
            </w:r>
          </w:p>
        </w:tc>
      </w:tr>
    </w:tbl>
    <w:p>
      <w:pPr>
        <w:rPr>
          <w:sz w:val="2"/>
        </w:rPr>
      </w:pPr>
    </w:p>
    <w:sectPr>
      <w:headerReference w:type="default" r:id="rId9"/>
      <w:pgSz w:w="11907" w:h="16840" w:code="9"/>
      <w:pgMar w:top="964" w:right="1134" w:bottom="964" w:left="1701" w:header="567" w:footer="56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 w:id="1">
    <w:p>
      <w:pPr>
        <w:ind w:firstLine="454"/>
        <w:jc w:val="both"/>
        <w:rPr>
          <w:bCs/>
          <w:sz w:val="20"/>
          <w:szCs w:val="22"/>
          <w:lang w:val="nl-NL"/>
        </w:rPr>
      </w:pPr>
      <w:r>
        <w:rPr>
          <w:rStyle w:val="FootnoteReference"/>
          <w:sz w:val="26"/>
        </w:rPr>
        <w:footnoteRef/>
      </w:r>
      <w:r>
        <w:rPr>
          <w:sz w:val="26"/>
        </w:rPr>
        <w:t xml:space="preserve"> </w:t>
      </w:r>
      <w:r>
        <w:rPr>
          <w:rStyle w:val="BodyTextChar"/>
          <w:bCs/>
          <w:sz w:val="20"/>
          <w:szCs w:val="22"/>
          <w:lang w:val="nb-NO"/>
        </w:rPr>
        <w:t xml:space="preserve">- Hội đồng nhân dân tỉnh Điện Biên đã ban hành Nghị quyết số 389/2015/NQ-HĐND ngày 10/11/2015,  Quy định </w:t>
      </w:r>
      <w:r>
        <w:rPr>
          <w:bCs/>
          <w:sz w:val="20"/>
          <w:szCs w:val="22"/>
          <w:lang w:val="nl-NL"/>
        </w:rPr>
        <w:t>chính sách khuyến công trên địa bàn tỉnh Điện Biên; Ủy ban nhân dân tỉnh đã ban hành Quyết định số 27/2015/QĐ-UBND ngày 03/12/2015 quy định chính sách khuyến công trên địa bàn tỉnh Điện Biên.</w:t>
      </w:r>
    </w:p>
    <w:p>
      <w:pPr>
        <w:ind w:firstLine="720"/>
        <w:jc w:val="both"/>
        <w:rPr>
          <w:bCs/>
          <w:sz w:val="20"/>
          <w:szCs w:val="22"/>
          <w:lang w:val="nl-NL"/>
        </w:rPr>
      </w:pPr>
      <w:r>
        <w:rPr>
          <w:bCs/>
          <w:sz w:val="20"/>
          <w:szCs w:val="22"/>
          <w:lang w:val="nl-NL"/>
        </w:rPr>
        <w:t>- UBND tỉnh Điện Biên đã ban hành Quyết định số 314/QĐ-UBND ngày 21/4/2015 phê duyệt Chương trình Khuyến công tỉnh Điện Biên giai đoạn đến năm 2020 và Quyết định số 375/QĐ-UBND ngày 23 tháng 3 năm 2021 về việc phê duyệt chương trình Khuyến công tỉnh Điện Biên giai đoạn 2021-2025.</w:t>
      </w:r>
    </w:p>
    <w:p>
      <w:pPr>
        <w:ind w:firstLine="720"/>
        <w:jc w:val="both"/>
        <w:rPr>
          <w:bCs/>
          <w:spacing w:val="-4"/>
          <w:sz w:val="20"/>
          <w:szCs w:val="22"/>
          <w:lang w:val="nl-NL"/>
        </w:rPr>
      </w:pPr>
      <w:r>
        <w:rPr>
          <w:bCs/>
          <w:spacing w:val="-4"/>
          <w:sz w:val="20"/>
          <w:szCs w:val="22"/>
          <w:lang w:val="nl-NL"/>
        </w:rPr>
        <w:t xml:space="preserve">- Hội đồng nhân dân tỉnh Điện Biên đã ban hành Nghị quyết số 04/2022/NQ-HĐND bãi bỏ Nghị quyết số 389/2015/NQ-HĐND </w:t>
      </w:r>
      <w:r>
        <w:rPr>
          <w:rStyle w:val="BodyTextChar"/>
          <w:bCs/>
          <w:spacing w:val="-4"/>
          <w:sz w:val="20"/>
          <w:szCs w:val="22"/>
          <w:lang w:val="nb-NO"/>
        </w:rPr>
        <w:t xml:space="preserve">ngày 10/11/2015 Quy định </w:t>
      </w:r>
      <w:r>
        <w:rPr>
          <w:bCs/>
          <w:spacing w:val="-4"/>
          <w:sz w:val="20"/>
          <w:szCs w:val="22"/>
          <w:lang w:val="nl-NL"/>
        </w:rPr>
        <w:t>chính sách khuyến công trên địa bàn tỉnh Điện Biên; Ủy ban nhân dân tỉnh Điện Biên ban hành Quyết định số 24/2022/QĐ-UBND ngày 19 tháng 7 năm 2022  Ban hành quy chế quản lý kinh phí khuyến công và mức chi cụ thể cho hoạt động khuyến công địa phương tỉnh Điện Biên thay thế Quyết định số 27/2015/QĐ-UBND ngày 03/12/2015 quy định chính sách khuyến công trên địa bàn tỉnh Điện Biên.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6391479"/>
      <w:docPartObj>
        <w:docPartGallery w:val="Page Numbers (Top of Page)"/>
        <w:docPartUnique/>
      </w:docPartObj>
    </w:sdtPr>
    <w:sdtEndPr>
      <w:rPr>
        <w:noProof/>
      </w:rPr>
    </w:sdtEndPr>
    <w:sdtContent>
      <w:p>
        <w:pPr>
          <w:pStyle w:val="Header"/>
          <w:jc w:val="center"/>
        </w:pPr>
        <w:r>
          <w:fldChar w:fldCharType="begin"/>
        </w:r>
        <w:r>
          <w:instrText xml:space="preserve"> PAGE   \* MERGEFORMAT </w:instrText>
        </w:r>
        <w:r>
          <w:fldChar w:fldCharType="separate"/>
        </w:r>
        <w:r>
          <w:rPr>
            <w:noProof/>
          </w:rPr>
          <w:t>5</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D2601C"/>
    <w:multiLevelType w:val="hybridMultilevel"/>
    <w:tmpl w:val="31F619CA"/>
    <w:lvl w:ilvl="0" w:tplc="193EBC38">
      <w:start w:val="1"/>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1">
    <w:nsid w:val="6C6D5215"/>
    <w:multiLevelType w:val="hybridMultilevel"/>
    <w:tmpl w:val="9578C5A4"/>
    <w:lvl w:ilvl="0" w:tplc="DC82F5BA">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73560B9B"/>
    <w:multiLevelType w:val="hybridMultilevel"/>
    <w:tmpl w:val="28C0A8F6"/>
    <w:lvl w:ilvl="0" w:tplc="05E44164">
      <w:start w:val="1"/>
      <w:numFmt w:val="decimal"/>
      <w:lvlText w:val="%1."/>
      <w:lvlJc w:val="left"/>
      <w:pPr>
        <w:tabs>
          <w:tab w:val="num" w:pos="1125"/>
        </w:tabs>
        <w:ind w:left="1125" w:hanging="4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76B24C4D"/>
    <w:multiLevelType w:val="hybridMultilevel"/>
    <w:tmpl w:val="3E42C83C"/>
    <w:lvl w:ilvl="0" w:tplc="67268F62">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CharChar1Char">
    <w:name w:val="Char Char Char Char Char Char Char Char Char1 Char"/>
    <w:basedOn w:val="Normal"/>
    <w:next w:val="Normal"/>
    <w:autoRedefine/>
    <w:semiHidden/>
    <w:pPr>
      <w:spacing w:before="120" w:after="120" w:line="312" w:lineRule="auto"/>
    </w:p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Pr>
      <w:color w:val="0000FF"/>
      <w:u w:val="single"/>
    </w:rPr>
  </w:style>
  <w:style w:type="paragraph" w:customStyle="1" w:styleId="DefaultParagraphFontParaCharCharCharCharChar">
    <w:name w:val="Default Paragraph Font Para Char Char Char Char Char"/>
    <w:autoRedefine/>
    <w:pPr>
      <w:tabs>
        <w:tab w:val="left" w:pos="1152"/>
      </w:tabs>
      <w:spacing w:before="120" w:after="120" w:line="312" w:lineRule="auto"/>
    </w:pPr>
    <w:rPr>
      <w:rFonts w:ascii="Arial" w:hAnsi="Arial" w:cs="Arial"/>
      <w:sz w:val="26"/>
      <w:szCs w:val="26"/>
    </w:rPr>
  </w:style>
  <w:style w:type="character" w:customStyle="1" w:styleId="BodyTextIndent2Char">
    <w:name w:val="Body Text Indent 2 Char"/>
    <w:basedOn w:val="DefaultParagraphFont"/>
    <w:link w:val="BodyTextIndent2"/>
    <w:semiHidden/>
    <w:locked/>
    <w:rPr>
      <w:rFonts w:ascii=".VnTime" w:hAnsi=".VnTime"/>
      <w:sz w:val="28"/>
      <w:lang w:val="en-US" w:eastAsia="en-US" w:bidi="ar-SA"/>
    </w:rPr>
  </w:style>
  <w:style w:type="paragraph" w:styleId="BodyTextIndent2">
    <w:name w:val="Body Text Indent 2"/>
    <w:basedOn w:val="Normal"/>
    <w:link w:val="BodyTextIndent2Char"/>
    <w:semiHidden/>
    <w:pPr>
      <w:spacing w:before="60" w:line="288" w:lineRule="auto"/>
      <w:ind w:firstLine="720"/>
      <w:jc w:val="both"/>
    </w:pPr>
    <w:rPr>
      <w:rFonts w:ascii=".VnTime" w:hAnsi=".VnTime"/>
      <w:szCs w:val="20"/>
    </w:rPr>
  </w:style>
  <w:style w:type="paragraph" w:styleId="ListParagraph">
    <w:name w:val="List Paragraph"/>
    <w:basedOn w:val="Normal"/>
    <w:uiPriority w:val="34"/>
    <w:qFormat/>
    <w:pPr>
      <w:ind w:left="720"/>
      <w:contextualSpacing/>
    </w:pPr>
  </w:style>
  <w:style w:type="paragraph" w:styleId="BodyText">
    <w:name w:val="Body Text"/>
    <w:basedOn w:val="Normal"/>
    <w:link w:val="BodyTextChar"/>
    <w:unhideWhenUsed/>
    <w:pPr>
      <w:spacing w:after="120"/>
    </w:pPr>
  </w:style>
  <w:style w:type="character" w:customStyle="1" w:styleId="BodyTextChar">
    <w:name w:val="Body Text Char"/>
    <w:basedOn w:val="DefaultParagraphFont"/>
    <w:link w:val="BodyText"/>
    <w:rPr>
      <w:sz w:val="28"/>
      <w:szCs w:val="28"/>
    </w:rPr>
  </w:style>
  <w:style w:type="character" w:customStyle="1" w:styleId="fontstyle01">
    <w:name w:val="fontstyle01"/>
    <w:basedOn w:val="DefaultParagraphFont"/>
    <w:rPr>
      <w:rFonts w:ascii="TimesNewRomanPSMT" w:hAnsi="TimesNewRomanPSMT" w:hint="default"/>
      <w:b w:val="0"/>
      <w:bCs w:val="0"/>
      <w:i w:val="0"/>
      <w:iCs w:val="0"/>
      <w:color w:val="000000"/>
      <w:sz w:val="28"/>
      <w:szCs w:val="28"/>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style>
  <w:style w:type="character" w:styleId="FootnoteReference">
    <w:name w:val="footnote reference"/>
    <w:uiPriority w:val="99"/>
    <w:semiHidden/>
    <w:unhideWhenUsed/>
    <w:rPr>
      <w:rFonts w:ascii="Times New Roman" w:eastAsia="Times New Roman" w:hAnsi="Times New Roman" w:cs="Times New Roman"/>
      <w:vertAlign w:val="superscript"/>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sz w:val="28"/>
      <w:szCs w:val="28"/>
    </w:rPr>
  </w:style>
  <w:style w:type="paragraph" w:styleId="Footer">
    <w:name w:val="footer"/>
    <w:basedOn w:val="Normal"/>
    <w:link w:val="FooterChar"/>
    <w:unhideWhenUsed/>
    <w:pPr>
      <w:tabs>
        <w:tab w:val="center" w:pos="4513"/>
        <w:tab w:val="right" w:pos="9026"/>
      </w:tabs>
    </w:pPr>
  </w:style>
  <w:style w:type="character" w:customStyle="1" w:styleId="FooterChar">
    <w:name w:val="Footer Char"/>
    <w:basedOn w:val="DefaultParagraphFont"/>
    <w:link w:val="Footer"/>
    <w:rPr>
      <w:sz w:val="28"/>
      <w:szCs w:val="28"/>
    </w:rPr>
  </w:style>
  <w:style w:type="paragraph" w:styleId="NormalWeb">
    <w:name w:val="Normal (Web)"/>
    <w:basedOn w:val="Normal"/>
    <w:uiPriority w:val="99"/>
    <w:unhideWhenUsed/>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CharChar1Char">
    <w:name w:val="Char Char Char Char Char Char Char Char Char1 Char"/>
    <w:basedOn w:val="Normal"/>
    <w:next w:val="Normal"/>
    <w:autoRedefine/>
    <w:semiHidden/>
    <w:pPr>
      <w:spacing w:before="120" w:after="120" w:line="312" w:lineRule="auto"/>
    </w:p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Pr>
      <w:color w:val="0000FF"/>
      <w:u w:val="single"/>
    </w:rPr>
  </w:style>
  <w:style w:type="paragraph" w:customStyle="1" w:styleId="DefaultParagraphFontParaCharCharCharCharChar">
    <w:name w:val="Default Paragraph Font Para Char Char Char Char Char"/>
    <w:autoRedefine/>
    <w:pPr>
      <w:tabs>
        <w:tab w:val="left" w:pos="1152"/>
      </w:tabs>
      <w:spacing w:before="120" w:after="120" w:line="312" w:lineRule="auto"/>
    </w:pPr>
    <w:rPr>
      <w:rFonts w:ascii="Arial" w:hAnsi="Arial" w:cs="Arial"/>
      <w:sz w:val="26"/>
      <w:szCs w:val="26"/>
    </w:rPr>
  </w:style>
  <w:style w:type="character" w:customStyle="1" w:styleId="BodyTextIndent2Char">
    <w:name w:val="Body Text Indent 2 Char"/>
    <w:basedOn w:val="DefaultParagraphFont"/>
    <w:link w:val="BodyTextIndent2"/>
    <w:semiHidden/>
    <w:locked/>
    <w:rPr>
      <w:rFonts w:ascii=".VnTime" w:hAnsi=".VnTime"/>
      <w:sz w:val="28"/>
      <w:lang w:val="en-US" w:eastAsia="en-US" w:bidi="ar-SA"/>
    </w:rPr>
  </w:style>
  <w:style w:type="paragraph" w:styleId="BodyTextIndent2">
    <w:name w:val="Body Text Indent 2"/>
    <w:basedOn w:val="Normal"/>
    <w:link w:val="BodyTextIndent2Char"/>
    <w:semiHidden/>
    <w:pPr>
      <w:spacing w:before="60" w:line="288" w:lineRule="auto"/>
      <w:ind w:firstLine="720"/>
      <w:jc w:val="both"/>
    </w:pPr>
    <w:rPr>
      <w:rFonts w:ascii=".VnTime" w:hAnsi=".VnTime"/>
      <w:szCs w:val="20"/>
    </w:rPr>
  </w:style>
  <w:style w:type="paragraph" w:styleId="ListParagraph">
    <w:name w:val="List Paragraph"/>
    <w:basedOn w:val="Normal"/>
    <w:uiPriority w:val="34"/>
    <w:qFormat/>
    <w:pPr>
      <w:ind w:left="720"/>
      <w:contextualSpacing/>
    </w:pPr>
  </w:style>
  <w:style w:type="paragraph" w:styleId="BodyText">
    <w:name w:val="Body Text"/>
    <w:basedOn w:val="Normal"/>
    <w:link w:val="BodyTextChar"/>
    <w:unhideWhenUsed/>
    <w:pPr>
      <w:spacing w:after="120"/>
    </w:pPr>
  </w:style>
  <w:style w:type="character" w:customStyle="1" w:styleId="BodyTextChar">
    <w:name w:val="Body Text Char"/>
    <w:basedOn w:val="DefaultParagraphFont"/>
    <w:link w:val="BodyText"/>
    <w:rPr>
      <w:sz w:val="28"/>
      <w:szCs w:val="28"/>
    </w:rPr>
  </w:style>
  <w:style w:type="character" w:customStyle="1" w:styleId="fontstyle01">
    <w:name w:val="fontstyle01"/>
    <w:basedOn w:val="DefaultParagraphFont"/>
    <w:rPr>
      <w:rFonts w:ascii="TimesNewRomanPSMT" w:hAnsi="TimesNewRomanPSMT" w:hint="default"/>
      <w:b w:val="0"/>
      <w:bCs w:val="0"/>
      <w:i w:val="0"/>
      <w:iCs w:val="0"/>
      <w:color w:val="000000"/>
      <w:sz w:val="28"/>
      <w:szCs w:val="28"/>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style>
  <w:style w:type="character" w:styleId="FootnoteReference">
    <w:name w:val="footnote reference"/>
    <w:uiPriority w:val="99"/>
    <w:semiHidden/>
    <w:unhideWhenUsed/>
    <w:rPr>
      <w:rFonts w:ascii="Times New Roman" w:eastAsia="Times New Roman" w:hAnsi="Times New Roman" w:cs="Times New Roman"/>
      <w:vertAlign w:val="superscript"/>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sz w:val="28"/>
      <w:szCs w:val="28"/>
    </w:rPr>
  </w:style>
  <w:style w:type="paragraph" w:styleId="Footer">
    <w:name w:val="footer"/>
    <w:basedOn w:val="Normal"/>
    <w:link w:val="FooterChar"/>
    <w:unhideWhenUsed/>
    <w:pPr>
      <w:tabs>
        <w:tab w:val="center" w:pos="4513"/>
        <w:tab w:val="right" w:pos="9026"/>
      </w:tabs>
    </w:pPr>
  </w:style>
  <w:style w:type="character" w:customStyle="1" w:styleId="FooterChar">
    <w:name w:val="Footer Char"/>
    <w:basedOn w:val="DefaultParagraphFont"/>
    <w:link w:val="Footer"/>
    <w:rPr>
      <w:sz w:val="28"/>
      <w:szCs w:val="28"/>
    </w:rPr>
  </w:style>
  <w:style w:type="paragraph" w:styleId="NormalWeb">
    <w:name w:val="Normal (Web)"/>
    <w:basedOn w:val="Normal"/>
    <w:uiPriority w:val="99"/>
    <w:unhideWhenUsed/>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029727">
      <w:bodyDiv w:val="1"/>
      <w:marLeft w:val="0"/>
      <w:marRight w:val="0"/>
      <w:marTop w:val="0"/>
      <w:marBottom w:val="0"/>
      <w:divBdr>
        <w:top w:val="none" w:sz="0" w:space="0" w:color="auto"/>
        <w:left w:val="none" w:sz="0" w:space="0" w:color="auto"/>
        <w:bottom w:val="none" w:sz="0" w:space="0" w:color="auto"/>
        <w:right w:val="none" w:sz="0" w:space="0" w:color="auto"/>
      </w:divBdr>
    </w:div>
    <w:div w:id="1644038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1DF32C-28CC-4E43-8D94-E5FF5DF4D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1305</Words>
  <Characters>7439</Characters>
  <Application>Microsoft Office Word</Application>
  <DocSecurity>0</DocSecurity>
  <Lines>61</Lines>
  <Paragraphs>17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UBND TỈNH ĐIỆN BIÊN</vt:lpstr>
      <vt:lpstr>UBND TỈNH ĐIỆN BIÊN</vt:lpstr>
    </vt:vector>
  </TitlesOfParts>
  <Company>HOME</Company>
  <LinksUpToDate>false</LinksUpToDate>
  <CharactersWithSpaces>8727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ĐIỆN BIÊN</dc:title>
  <dc:creator>User</dc:creator>
  <cp:lastModifiedBy>PGD</cp:lastModifiedBy>
  <cp:revision>8</cp:revision>
  <cp:lastPrinted>2012-02-23T08:13:00Z</cp:lastPrinted>
  <dcterms:created xsi:type="dcterms:W3CDTF">2025-04-18T00:16:00Z</dcterms:created>
  <dcterms:modified xsi:type="dcterms:W3CDTF">2025-04-18T03:38:00Z</dcterms:modified>
</cp:coreProperties>
</file>