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ook w:val="04A0" w:firstRow="1" w:lastRow="0" w:firstColumn="1" w:lastColumn="0" w:noHBand="0" w:noVBand="1"/>
      </w:tblPr>
      <w:tblGrid>
        <w:gridCol w:w="3402"/>
        <w:gridCol w:w="5670"/>
      </w:tblGrid>
      <w:tr>
        <w:tc>
          <w:tcPr>
            <w:tcW w:w="3402" w:type="dxa"/>
          </w:tcPr>
          <w:p>
            <w:pPr>
              <w:jc w:val="center"/>
              <w:rPr>
                <w:b/>
                <w:bCs/>
                <w:sz w:val="26"/>
              </w:rPr>
            </w:pPr>
            <w:r>
              <w:rPr>
                <w:b/>
                <w:bCs/>
                <w:sz w:val="26"/>
              </w:rPr>
              <w:t xml:space="preserve">ỦY BAN NHÂN DÂN </w:t>
            </w:r>
          </w:p>
          <w:p>
            <w:pPr>
              <w:jc w:val="center"/>
              <w:rPr>
                <w:b/>
                <w:bCs/>
                <w:sz w:val="26"/>
              </w:rPr>
            </w:pPr>
            <w:r>
              <w:rPr>
                <w:b/>
                <w:bCs/>
                <w:sz w:val="26"/>
              </w:rPr>
              <w:t xml:space="preserve"> TỈNH ĐIỆN BIÊN</w:t>
            </w:r>
          </w:p>
          <w:p>
            <w:pPr>
              <w:jc w:val="center"/>
              <w:rPr>
                <w:b/>
                <w:bCs/>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705485</wp:posOffset>
                      </wp:positionH>
                      <wp:positionV relativeFrom="paragraph">
                        <wp:posOffset>4717</wp:posOffset>
                      </wp:positionV>
                      <wp:extent cx="685800" cy="0"/>
                      <wp:effectExtent l="0" t="0" r="190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5.55pt;margin-top:.35pt;width:5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"/>
                  </w:pict>
                </mc:Fallback>
              </mc:AlternateContent>
            </w:r>
          </w:p>
          <w:p>
            <w:pPr>
              <w:jc w:val="center"/>
            </w:pPr>
            <w:r>
              <w:t xml:space="preserve">Số:           /TTr-UBND </w:t>
            </w:r>
          </w:p>
        </w:tc>
        <w:tc>
          <w:tcPr>
            <w:tcW w:w="5670" w:type="dxa"/>
          </w:tcPr>
          <w:p>
            <w:pPr>
              <w:jc w:val="center"/>
              <w:rPr>
                <w:b/>
                <w:bCs/>
                <w:sz w:val="26"/>
                <w:szCs w:val="26"/>
              </w:rPr>
            </w:pPr>
            <w:r>
              <w:rPr>
                <w:b/>
                <w:bCs/>
                <w:sz w:val="26"/>
                <w:szCs w:val="26"/>
              </w:rPr>
              <w:t>CỘNG HÒA XÃ HỘI CHỦ NGHĨA VIỆT NAM</w:t>
            </w:r>
          </w:p>
          <w:p>
            <w:pPr>
              <w:jc w:val="center"/>
              <w:rPr>
                <w:b/>
                <w:bCs/>
              </w:rPr>
            </w:pPr>
            <w:r>
              <w:rPr>
                <w:b/>
                <w:bCs/>
              </w:rPr>
              <w:t>Độc lập - Tự do - Hạnh phúc</w:t>
            </w:r>
          </w:p>
          <w:p>
            <w:pPr>
              <w:spacing w:before="240"/>
              <w:jc w:val="center"/>
              <w:rPr>
                <w:b/>
                <w:bCs/>
                <w:sz w:val="20"/>
                <w:szCs w:val="26"/>
              </w:rPr>
            </w:pPr>
            <w:r>
              <w:rPr>
                <w:i/>
                <w:iCs/>
                <w:noProof/>
              </w:rPr>
              <mc:AlternateContent>
                <mc:Choice Requires="wps">
                  <w:drawing>
                    <wp:anchor distT="4294967295" distB="4294967295" distL="114300" distR="114300" simplePos="0" relativeHeight="251663360" behindDoc="0" locked="0" layoutInCell="1" allowOverlap="1">
                      <wp:simplePos x="0" y="0"/>
                      <wp:positionH relativeFrom="column">
                        <wp:posOffset>652508</wp:posOffset>
                      </wp:positionH>
                      <wp:positionV relativeFrom="paragraph">
                        <wp:posOffset>39370</wp:posOffset>
                      </wp:positionV>
                      <wp:extent cx="2160815" cy="0"/>
                      <wp:effectExtent l="0" t="0" r="1143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815"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51.4pt;margin-top:3.1pt;width:170.1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"/>
                  </w:pict>
                </mc:Fallback>
              </mc:AlternateContent>
            </w:r>
            <w:r>
              <w:rPr>
                <w:i/>
                <w:iCs/>
              </w:rPr>
              <w:t>Điện Biên, ngày         tháng 5 năm 2025</w:t>
            </w:r>
          </w:p>
        </w:tc>
      </w:tr>
    </w:tbl>
    <w:p>
      <w:pPr>
        <w:rPr>
          <w:sz w:val="36"/>
        </w:rPr>
      </w:pPr>
      <w:r>
        <w:rPr>
          <w:b/>
          <w:sz w:val="36"/>
        </w:rPr>
        <w:t xml:space="preserve">         </w:t>
      </w:r>
      <w:r>
        <w:rPr>
          <w:sz w:val="36"/>
        </w:rPr>
        <w:t>(</w:t>
      </w:r>
      <w:r>
        <w:rPr>
          <w:sz w:val="36"/>
          <w:u w:val="single"/>
        </w:rPr>
        <w:t>Dự thảo</w:t>
      </w:r>
      <w:r>
        <w:rPr>
          <w:sz w:val="36"/>
        </w:rPr>
        <w:t>)</w:t>
      </w:r>
    </w:p>
    <w:p>
      <w:pPr>
        <w:jc w:val="center"/>
        <w:rPr>
          <w:b/>
        </w:rPr>
      </w:pPr>
      <w:r>
        <w:rPr>
          <w:b/>
        </w:rPr>
        <w:t>TỜ TRÌNH</w:t>
      </w:r>
    </w:p>
    <w:p>
      <w:pPr>
        <w:jc w:val="center"/>
      </w:pPr>
      <w:r>
        <w:rPr>
          <w:b/>
        </w:rPr>
        <w:t>Dự thảo Nghị quyết Quy định nội dung chi và mức chi hoạt động khuyến công trên địa bàn tỉnh Điện Biên</w:t>
      </w:r>
    </w:p>
    <w:p>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2431254</wp:posOffset>
                </wp:positionH>
                <wp:positionV relativeFrom="paragraph">
                  <wp:posOffset>57785</wp:posOffset>
                </wp:positionV>
                <wp:extent cx="873457"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8734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45pt,4.55pt" to="260.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" strokecolor="black [3040]"/>
            </w:pict>
          </mc:Fallback>
        </mc:AlternateContent>
      </w:r>
    </w:p>
    <w:p/>
    <w:p>
      <w:pPr>
        <w:jc w:val="center"/>
      </w:pPr>
      <w:r>
        <w:t>Kính gửi: Hội đồng nhân dân tỉnh Điện Biên.</w:t>
      </w:r>
    </w:p>
    <w:p>
      <w:pPr>
        <w:widowControl w:val="0"/>
        <w:tabs>
          <w:tab w:val="right" w:leader="dot" w:pos="7920"/>
        </w:tabs>
        <w:spacing w:before="80"/>
        <w:ind w:firstLine="454"/>
        <w:jc w:val="both"/>
        <w:rPr>
          <w:sz w:val="36"/>
        </w:rPr>
      </w:pPr>
    </w:p>
    <w:p>
      <w:pPr>
        <w:widowControl w:val="0"/>
        <w:spacing w:before="120" w:after="120"/>
        <w:ind w:firstLine="720"/>
        <w:jc w:val="both"/>
        <w:rPr>
          <w:i/>
        </w:rPr>
      </w:pPr>
      <w:r>
        <w:t xml:space="preserve"> Thực hiện quy định của Luật Ban hành văn bản quy phạm pháp luật, Ủy ban nhân dân tỉnh Điện Biên kính trình Hội đồng nhân dân tỉnh Điện Biên Dự thảo Nghị quyết </w:t>
      </w:r>
      <w:r>
        <w:rPr>
          <w:lang w:val="vi-VN"/>
        </w:rPr>
        <w:t>Quy định nội dung chi và mức chi hoạt động khuyến công trên địa bàn tỉnh Điện Biên với nội dung như sau:</w:t>
      </w:r>
    </w:p>
    <w:p>
      <w:pPr>
        <w:widowControl w:val="0"/>
        <w:spacing w:before="120" w:after="120"/>
        <w:ind w:firstLine="720"/>
        <w:jc w:val="both"/>
        <w:rPr>
          <w:b/>
        </w:rPr>
      </w:pPr>
      <w:r>
        <w:rPr>
          <w:b/>
        </w:rPr>
        <w:t>I. SỰ CẦN THIẾT BAN HÀNH VĂN BẢN</w:t>
      </w:r>
    </w:p>
    <w:p>
      <w:pPr>
        <w:widowControl w:val="0"/>
        <w:spacing w:before="120" w:after="120"/>
        <w:ind w:firstLine="720"/>
        <w:jc w:val="both"/>
        <w:rPr>
          <w:b/>
          <w:i/>
        </w:rPr>
      </w:pPr>
      <w:r>
        <w:rPr>
          <w:b/>
        </w:rPr>
        <w:t>1. Cơ sở chính trị, pháp lý</w:t>
      </w:r>
    </w:p>
    <w:p>
      <w:pPr>
        <w:widowControl w:val="0"/>
        <w:spacing w:before="120" w:after="120"/>
        <w:ind w:firstLine="720"/>
        <w:jc w:val="both"/>
      </w:pPr>
      <w:r>
        <w:t>Sau khi Chính phủ ban hành Nghị định số 45/2012/NĐ-CP ngày 21 tháng 5 năm 2012 về khuyến công. Căn cứ vào các quy định hiện hành, Sở Công Thương đã tham mưu cho Ủy ban nhân dân tỉnh trình Hội đồng nhân dân tỉnh ban hành Nghị quyết và các Quyết định về chính sách, quy chế quản lý, chương trình, kế hoạch khuyến công trên địa bàn tỉnh Điện Biên</w:t>
      </w:r>
      <w:r>
        <w:rPr>
          <w:rStyle w:val="FootnoteReference"/>
        </w:rPr>
        <w:footnoteReference w:id="1"/>
      </w:r>
      <w:r>
        <w:t>.</w:t>
      </w:r>
    </w:p>
    <w:p>
      <w:pPr>
        <w:widowControl w:val="0"/>
        <w:spacing w:before="120" w:after="120"/>
        <w:ind w:firstLine="720"/>
        <w:jc w:val="both"/>
      </w:pPr>
      <w:r>
        <w:t>Ngày 28 tháng 8 năm 2024 Bộ Tài chính ban hành Thông tư số 64/2024/TT-BTC sửa đổi, bổ sung một số điều của Thông tư số 28/2018/TT-BTC ngày 28 tháng 3 năm 2018 của Bộ Tài chính hướng dẫn lập, quản lý, sử dụng kinh phí khuyến công. Tại khoản 2, Điều 2 của Thông tư quy định “</w:t>
      </w:r>
      <w:r>
        <w:rPr>
          <w:i/>
        </w:rPr>
        <w:t xml:space="preserve">Đối với nội dung chi và mức chi hoạt động khuyến công địa phương đã được quyết định hoặc phê duyệt  theo quy định pháp luật trước ngày Thông tư này có hiệu lực thi hành được tiếp tục thực hiện theo quy định cho đến khi Hội đồng nhân </w:t>
      </w:r>
      <w:r>
        <w:rPr>
          <w:i/>
        </w:rPr>
        <w:lastRenderedPageBreak/>
        <w:t>dân cấp tỉnh có quyết nghị về nội dung và mức chi hoạt động khuyến công địa phương, nhưng tối đa không quá niên độ ngân sách nhà nước năm 2024 và bảo đảm phù hợp quy định của Luật Ngân sách Nhà nước và quy định tại Thông tư này”</w:t>
      </w:r>
      <w:r>
        <w:t xml:space="preserve">. </w:t>
      </w:r>
    </w:p>
    <w:p>
      <w:pPr>
        <w:widowControl w:val="0"/>
        <w:spacing w:before="120" w:after="120"/>
        <w:ind w:firstLine="720"/>
        <w:jc w:val="both"/>
        <w:rPr>
          <w:b/>
        </w:rPr>
      </w:pPr>
      <w:r>
        <w:rPr>
          <w:b/>
        </w:rPr>
        <w:t>2. Cơ sở thực tiễn</w:t>
      </w:r>
    </w:p>
    <w:p>
      <w:pPr>
        <w:widowControl w:val="0"/>
        <w:spacing w:before="120" w:after="120"/>
        <w:ind w:firstLine="720"/>
        <w:jc w:val="both"/>
      </w:pPr>
      <w:r>
        <w:t>Trên địa bàn tỉnh Điện Biên, số lượng doanh nghiệp, hợp tác xã, các cơ sở sản xuất, chế biến trong lĩnh vực công nghiệp, tiểu thủ công nghiệp còn ít, hầu hết là quy mô nhỏ, sản xuất nhỏ lẻ, năng lực tài chính và việc ứng dụng khoa học kỹ thuật tiên tiến vào trong sản xuất còn hạn chế; thời gian qua chính sách khuyến công đã tạo động lực rất lớn cho sự phát triển của ngành công thương địa phương, đặc biệt, chính sách khuyến công đã giúp các cơ sở công nghiệp nông thôn của tỉnh mạnh dạn đầu tư ứng dụng máy móc thiết bị tiên tiến vào sản xuất, nâng cao năng lực sản xuất, giá trị sản phẩm, góp phần tạo việc làm, sản xuất ra nhiều sản phẩm chế biến sâu, nhiều sản phẩm đã được công nhận là sản phẩm OCOP của tỉnh, góp phần phát triển sản phẩm du lịch của địa phương.</w:t>
      </w:r>
    </w:p>
    <w:p>
      <w:pPr>
        <w:widowControl w:val="0"/>
        <w:spacing w:before="120" w:after="120"/>
        <w:ind w:firstLine="720"/>
        <w:jc w:val="both"/>
      </w:pPr>
      <w:r>
        <w:t>Để triển khai, thực hiện chính sách khuyến công trên địa bàn tỉnh phù hợp với các quy định hiện hành, việc ban hành Nghị quyết Quy định nội dung chi và mức chi hoạt động khuyến công trên địa bàn tỉnh Điện Biên là cần thiết.</w:t>
      </w:r>
    </w:p>
    <w:p>
      <w:pPr>
        <w:widowControl w:val="0"/>
        <w:spacing w:before="120" w:after="120"/>
        <w:ind w:firstLine="720"/>
        <w:jc w:val="both"/>
      </w:pPr>
      <w:r>
        <w:rPr>
          <w:b/>
        </w:rPr>
        <w:t>II. MỤC ĐÍCH, QUAN ĐIỂM XÂY DỰNG DỰ THẢO VĂN BẢN</w:t>
      </w:r>
    </w:p>
    <w:p>
      <w:pPr>
        <w:widowControl w:val="0"/>
        <w:spacing w:before="120" w:after="120"/>
        <w:ind w:firstLine="720"/>
        <w:jc w:val="both"/>
      </w:pPr>
      <w:r>
        <w:rPr>
          <w:b/>
        </w:rPr>
        <w:t>1. Mục đích ban hành văn bản</w:t>
      </w:r>
    </w:p>
    <w:p>
      <w:pPr>
        <w:widowControl w:val="0"/>
        <w:spacing w:before="120" w:after="120"/>
        <w:ind w:firstLine="720"/>
        <w:jc w:val="both"/>
      </w:pPr>
      <w:r>
        <w:t>Nhằm cụ thể hóa các nội dung chi, mức chi hỗ trợ hoạt động khuyến công trên địa bàn tỉnh Điện Biên theo quy định tại Nghị định số 45/2012/NĐ-CP ngày 21 tháng 5 năm 2012 của Chính phủ về Khuyến công và các văn bản khác có liên quan.</w:t>
      </w:r>
    </w:p>
    <w:p>
      <w:pPr>
        <w:widowControl w:val="0"/>
        <w:spacing w:before="120" w:after="120"/>
        <w:ind w:firstLine="720"/>
        <w:jc w:val="both"/>
      </w:pPr>
      <w:r>
        <w:rPr>
          <w:b/>
        </w:rPr>
        <w:t>2. Quan điểm xây dựng văn bản</w:t>
      </w:r>
    </w:p>
    <w:p>
      <w:pPr>
        <w:widowControl w:val="0"/>
        <w:spacing w:before="120" w:after="120"/>
        <w:ind w:firstLine="720"/>
        <w:jc w:val="both"/>
      </w:pPr>
      <w:r>
        <w:t>Việc ban hành Quy định nội dung chi và mức chi hoạt động khuyến công phải đảm bảo phát huy hiệu quả, phù hợp với các quy định hiện hành, phù hợp với yêu cầu thực tế về phát triển công nghiệp - tiểu thủ công nghiệp của tỉnh.</w:t>
      </w:r>
    </w:p>
    <w:p>
      <w:pPr>
        <w:widowControl w:val="0"/>
        <w:spacing w:before="120" w:after="120"/>
        <w:ind w:firstLine="720"/>
        <w:jc w:val="both"/>
        <w:rPr>
          <w:b/>
        </w:rPr>
      </w:pPr>
      <w:r>
        <w:rPr>
          <w:b/>
        </w:rPr>
        <w:t>III. QUÁ TRÌNH XÂY DỰNG DỰ THẢO VĂN BẢN</w:t>
      </w:r>
    </w:p>
    <w:p>
      <w:pPr>
        <w:widowControl w:val="0"/>
        <w:spacing w:before="120" w:after="120"/>
        <w:ind w:firstLine="720"/>
        <w:jc w:val="both"/>
      </w:pPr>
      <w:r>
        <w:t>Dự thảo Nghị quyết Quy định nội dung chi và mức chi hoạt động khuyến công trên địa bàn tỉnh Điện Biên do Sở Công Thương chủ trì soạn thảo đã được gửi xin ý kiến tham gia của các Sở, ngành có liên quan và Ủy ban nhân dân các huyện, thị xã, thành phố bằng văn bản; được đăng công khai trên website của Ủy ban nhân dân tỉnh Điện Biên tại địa chỉ: dienbien.gov.vn để xin ý kiến rộng rãi theo quy định.</w:t>
      </w:r>
    </w:p>
    <w:p>
      <w:pPr>
        <w:widowControl w:val="0"/>
        <w:spacing w:before="120" w:after="120"/>
        <w:ind w:firstLine="720"/>
        <w:jc w:val="both"/>
      </w:pPr>
      <w:r>
        <w:t xml:space="preserve">Dự thảo cũng đã được Mặt Trận tổ quốc Việt Nam tỉnh Điện Biên tổ chức Hội nghị phản biện ngày .......; Sở Tư pháp thẩm định tại văn bản số ......... </w:t>
      </w:r>
    </w:p>
    <w:p>
      <w:pPr>
        <w:widowControl w:val="0"/>
        <w:spacing w:before="120" w:after="120"/>
        <w:ind w:firstLine="720"/>
        <w:jc w:val="both"/>
      </w:pPr>
      <w:r>
        <w:t>Căn cứ vào các ý kiến tham gia của các đơn vị, ý kiến thẩm định của Sở Tư pháp, Sở Công Thương đã nghiêm túc tiếp thu, giải trình các ý kiến tham gia và ý kiến thẩm định.</w:t>
      </w:r>
    </w:p>
    <w:p>
      <w:pPr>
        <w:widowControl w:val="0"/>
        <w:spacing w:before="120" w:after="120"/>
        <w:ind w:firstLine="720"/>
        <w:jc w:val="both"/>
        <w:rPr>
          <w:i/>
        </w:rPr>
      </w:pPr>
      <w:r>
        <w:rPr>
          <w:i/>
        </w:rPr>
        <w:lastRenderedPageBreak/>
        <w:t>(Có Báo cáo tiếp thu giải trình kèm theo).</w:t>
      </w:r>
    </w:p>
    <w:p>
      <w:pPr>
        <w:widowControl w:val="0"/>
        <w:spacing w:before="120" w:after="120"/>
        <w:ind w:firstLine="720"/>
        <w:jc w:val="both"/>
        <w:rPr>
          <w:b/>
        </w:rPr>
      </w:pPr>
      <w:r>
        <w:rPr>
          <w:b/>
        </w:rPr>
        <w:t>IV. BỐ CỤC VÀ NỘI DUNG CƠ BẢN CỦA DỰ THẢO VĂN BẢN</w:t>
      </w:r>
    </w:p>
    <w:p>
      <w:pPr>
        <w:widowControl w:val="0"/>
        <w:spacing w:before="120" w:after="120"/>
        <w:ind w:firstLine="720"/>
        <w:jc w:val="both"/>
        <w:rPr>
          <w:b/>
        </w:rPr>
      </w:pPr>
      <w:r>
        <w:rPr>
          <w:b/>
        </w:rPr>
        <w:t xml:space="preserve">1. Phạm vi điều chỉnh </w:t>
      </w:r>
    </w:p>
    <w:p>
      <w:pPr>
        <w:widowControl w:val="0"/>
        <w:spacing w:before="120" w:after="120"/>
        <w:ind w:firstLine="720"/>
        <w:jc w:val="both"/>
      </w:pPr>
      <w:r>
        <w:t>Nghị quyết này Quy định nội dung chi, mức chi hỗ trợ hoạt động khuyến công trên địa bàn tỉnh Điện Biên.</w:t>
      </w:r>
    </w:p>
    <w:p>
      <w:pPr>
        <w:widowControl w:val="0"/>
        <w:spacing w:before="120" w:after="120"/>
        <w:ind w:firstLine="720"/>
        <w:jc w:val="both"/>
        <w:rPr>
          <w:b/>
        </w:rPr>
      </w:pPr>
      <w:r>
        <w:rPr>
          <w:b/>
        </w:rPr>
        <w:t>2. Đối tượng áp dụng</w:t>
      </w:r>
    </w:p>
    <w:p>
      <w:pPr>
        <w:widowControl w:val="0"/>
        <w:spacing w:after="120"/>
        <w:ind w:firstLine="567"/>
        <w:jc w:val="both"/>
        <w:rPr>
          <w:lang w:val="nl-NL"/>
        </w:rPr>
      </w:pPr>
      <w:r>
        <w:t xml:space="preserve"> </w:t>
      </w:r>
      <w:r>
        <w:rPr>
          <w:lang w:val="nl-NL"/>
        </w:rPr>
        <w:t xml:space="preserve">a) Doanh nghiệp nhỏ và vừa, hợp tác xã, tổ hợp tác, hộ kinh doanh thành lập và hoạt động theo quy định của pháp luật trực tiếp đầu tư, sản xuất công nghiệp, tiểu thủ công nghiệp trên địa bàn tỉnh Điện Biên (gọi chung là cơ sở công nghiệp nông thôn).  </w:t>
      </w:r>
    </w:p>
    <w:p>
      <w:pPr>
        <w:pStyle w:val="NormalWeb"/>
        <w:widowControl w:val="0"/>
        <w:spacing w:before="0" w:beforeAutospacing="0" w:after="120" w:afterAutospacing="0"/>
        <w:ind w:firstLine="567"/>
        <w:jc w:val="both"/>
        <w:rPr>
          <w:sz w:val="28"/>
          <w:szCs w:val="28"/>
          <w:lang w:val="nl-NL"/>
        </w:rPr>
      </w:pPr>
      <w:r>
        <w:rPr>
          <w:sz w:val="28"/>
          <w:szCs w:val="28"/>
          <w:lang w:val="nl-NL"/>
        </w:rPr>
        <w:t xml:space="preserve">b) </w:t>
      </w:r>
      <w:r>
        <w:rPr>
          <w:sz w:val="28"/>
          <w:szCs w:val="28"/>
          <w:lang w:val="vi-VN"/>
        </w:rPr>
        <w:t>Các cơ sở sản xuất công nghiệp áp dụng sản xuất sạch hơn.</w:t>
      </w:r>
    </w:p>
    <w:p>
      <w:pPr>
        <w:widowControl w:val="0"/>
        <w:spacing w:after="120"/>
        <w:ind w:firstLine="567"/>
        <w:jc w:val="both"/>
        <w:rPr>
          <w:lang w:val="nl-NL"/>
        </w:rPr>
      </w:pPr>
      <w:r>
        <w:rPr>
          <w:lang w:val="nl-NL"/>
        </w:rPr>
        <w:t xml:space="preserve">c) </w:t>
      </w:r>
      <w:r>
        <w:rPr>
          <w:lang w:val="vi-VN"/>
        </w:rPr>
        <w:t>Tổ chức, cá nhân trong nước và nước ngoài tham gia công tác quản lý, thực hiện hoạt động dịch vụ khuyến công</w:t>
      </w:r>
      <w:r>
        <w:rPr>
          <w:lang w:val="nl-NL"/>
        </w:rPr>
        <w:t>.</w:t>
      </w:r>
    </w:p>
    <w:p>
      <w:pPr>
        <w:widowControl w:val="0"/>
        <w:spacing w:before="120" w:after="120"/>
        <w:ind w:firstLine="720"/>
        <w:jc w:val="both"/>
        <w:rPr>
          <w:b/>
        </w:rPr>
      </w:pPr>
      <w:r>
        <w:rPr>
          <w:iCs/>
          <w:lang w:val="nl-NL"/>
        </w:rPr>
        <w:t xml:space="preserve">3. </w:t>
      </w:r>
      <w:r>
        <w:rPr>
          <w:b/>
        </w:rPr>
        <w:t>Bố cục của dự thảo văn bản</w:t>
      </w:r>
    </w:p>
    <w:p>
      <w:pPr>
        <w:widowControl w:val="0"/>
        <w:spacing w:before="120" w:after="120"/>
        <w:ind w:firstLine="720"/>
        <w:jc w:val="both"/>
      </w:pPr>
      <w:r>
        <w:t>Nghị quyết gồm 5 Điều:</w:t>
      </w:r>
    </w:p>
    <w:p>
      <w:pPr>
        <w:widowControl w:val="0"/>
        <w:spacing w:before="120" w:after="120"/>
        <w:ind w:firstLine="720"/>
        <w:jc w:val="both"/>
      </w:pPr>
      <w:r>
        <w:t>Điều 1. Phạm vi điều chỉnh</w:t>
      </w:r>
    </w:p>
    <w:p>
      <w:pPr>
        <w:widowControl w:val="0"/>
        <w:spacing w:before="120" w:after="120"/>
        <w:ind w:firstLine="720"/>
        <w:jc w:val="both"/>
      </w:pPr>
      <w:r>
        <w:t>Điều 2. Đối tượng áp dụng</w:t>
      </w:r>
    </w:p>
    <w:p>
      <w:pPr>
        <w:widowControl w:val="0"/>
        <w:spacing w:before="120" w:after="120"/>
        <w:ind w:firstLine="720"/>
        <w:jc w:val="both"/>
      </w:pPr>
      <w:r>
        <w:t>Điều 3. Nguồn kinh phí</w:t>
      </w:r>
    </w:p>
    <w:p>
      <w:pPr>
        <w:widowControl w:val="0"/>
        <w:spacing w:before="120" w:after="120"/>
        <w:ind w:firstLine="720"/>
        <w:jc w:val="both"/>
      </w:pPr>
      <w:r>
        <w:t>Điều 4. Nội dung chi cho các hoạt động khuyến công địa phương</w:t>
      </w:r>
    </w:p>
    <w:p>
      <w:pPr>
        <w:widowControl w:val="0"/>
        <w:spacing w:before="120" w:after="120"/>
        <w:ind w:firstLine="720"/>
        <w:jc w:val="both"/>
      </w:pPr>
      <w:r>
        <w:t xml:space="preserve">Điều 5. Mức chi cho các hoạt động khuyến công địa phương. </w:t>
      </w:r>
    </w:p>
    <w:p>
      <w:pPr>
        <w:widowControl w:val="0"/>
        <w:spacing w:before="120" w:after="120"/>
        <w:ind w:firstLine="720"/>
        <w:jc w:val="both"/>
        <w:rPr>
          <w:b/>
        </w:rPr>
      </w:pPr>
      <w:r>
        <w:rPr>
          <w:b/>
        </w:rPr>
        <w:t>4. Nội dung cơ bản</w:t>
      </w:r>
    </w:p>
    <w:p>
      <w:pPr>
        <w:widowControl w:val="0"/>
        <w:spacing w:before="120" w:after="120"/>
        <w:ind w:firstLine="720"/>
        <w:jc w:val="both"/>
        <w:rPr>
          <w:lang w:val="nl-NL"/>
        </w:rPr>
      </w:pPr>
      <w:r>
        <w:rPr>
          <w:lang w:val="nl-NL"/>
        </w:rPr>
        <w:t>Nghị quyết quy định nội dung và mức chi chung cho hoạt động khuyến công trên địa bàn tỉnh Điện Biên quy định tại Điều 6, Điều 7 Thông tư số 28/2018/TT-BTC ngày 28 tháng 3 năm 2018 của Bộ trưởng Bộ Tài chính Hướng dẫn lập, quản lý, sử dụng kinh phí khuyến công, phù hợp với điều kiện của tỉnh.</w:t>
      </w:r>
    </w:p>
    <w:p>
      <w:pPr>
        <w:widowControl w:val="0"/>
        <w:spacing w:before="120" w:after="120"/>
        <w:ind w:firstLine="720"/>
        <w:jc w:val="both"/>
        <w:rPr>
          <w:b/>
          <w:lang w:val="nl-NL"/>
        </w:rPr>
      </w:pPr>
      <w:r>
        <w:rPr>
          <w:b/>
          <w:lang w:val="nl-NL"/>
        </w:rPr>
        <w:t>V.  DỰ KIẾN NGUỒN LỰC, ĐIỀU KIỆN BẢO ĐẢM CHO VIỆC THI HÀNH VĂN BẢN VÀ THỜI GIAN TRÌNH THÔNG QUA/BAN HÀNH</w:t>
      </w:r>
    </w:p>
    <w:p>
      <w:pPr>
        <w:widowControl w:val="0"/>
        <w:spacing w:before="120" w:after="120"/>
        <w:ind w:firstLine="720"/>
        <w:jc w:val="both"/>
        <w:rPr>
          <w:lang w:val="nl-NL"/>
        </w:rPr>
      </w:pPr>
      <w:r>
        <w:rPr>
          <w:b/>
          <w:lang w:val="nl-NL"/>
        </w:rPr>
        <w:t>1. Nguồn nhân lực</w:t>
      </w:r>
    </w:p>
    <w:p>
      <w:pPr>
        <w:widowControl w:val="0"/>
        <w:spacing w:before="120" w:after="120"/>
        <w:ind w:firstLine="720"/>
        <w:jc w:val="both"/>
        <w:rPr>
          <w:lang w:val="nl-NL"/>
        </w:rPr>
      </w:pPr>
      <w:r>
        <w:rPr>
          <w:lang w:val="nl-NL"/>
        </w:rPr>
        <w:t>Các sở, ban, ngành tỉnh; UBND các huyện, thị xã, thành phố; Trung tâm khuyến công và tư vấn phát triển công nghiệp; các cơ sở công nghiệp nông thôn trên địa bàn tỉnh Điện Biên và các cơ quan, đơn vị, cá nhân có liên quan.</w:t>
      </w:r>
    </w:p>
    <w:p>
      <w:pPr>
        <w:widowControl w:val="0"/>
        <w:spacing w:before="120" w:after="120"/>
        <w:ind w:firstLine="720"/>
        <w:jc w:val="both"/>
        <w:rPr>
          <w:lang w:val="nl-NL"/>
        </w:rPr>
      </w:pPr>
      <w:r>
        <w:rPr>
          <w:b/>
          <w:lang w:val="nl-NL"/>
        </w:rPr>
        <w:t>2. Nguồn kinh phí</w:t>
      </w:r>
    </w:p>
    <w:p>
      <w:pPr>
        <w:widowControl w:val="0"/>
        <w:spacing w:before="120" w:after="120"/>
        <w:ind w:firstLine="720"/>
        <w:jc w:val="both"/>
        <w:rPr>
          <w:lang w:val="nl-NL"/>
        </w:rPr>
      </w:pPr>
      <w:r>
        <w:rPr>
          <w:lang w:val="nl-NL"/>
        </w:rPr>
        <w:t xml:space="preserve">Ngân sách Tỉnh đảm bảo kinh phí cho hoạt động khuyến công địa phương trên địa bàn tỉnh Điện Biên. </w:t>
      </w:r>
    </w:p>
    <w:p>
      <w:pPr>
        <w:widowControl w:val="0"/>
        <w:spacing w:before="120" w:after="120"/>
        <w:ind w:firstLine="720"/>
        <w:jc w:val="both"/>
        <w:rPr>
          <w:b/>
          <w:lang w:val="nl-NL"/>
        </w:rPr>
      </w:pPr>
      <w:r>
        <w:rPr>
          <w:b/>
          <w:lang w:val="nl-NL"/>
        </w:rPr>
        <w:t>3. Thời gian trình thông qua, ban hành</w:t>
      </w:r>
    </w:p>
    <w:p>
      <w:pPr>
        <w:widowControl w:val="0"/>
        <w:spacing w:before="120" w:after="120"/>
        <w:ind w:firstLine="720"/>
        <w:jc w:val="both"/>
      </w:pPr>
      <w:r>
        <w:rPr>
          <w:lang w:val="nl-NL"/>
        </w:rPr>
        <w:lastRenderedPageBreak/>
        <w:t>Thời gian trình: Tại kỳ họp lần thứ...Hội đồng nhân dân tỉnh, tháng 6 năm 2025.</w:t>
      </w:r>
    </w:p>
    <w:p>
      <w:pPr>
        <w:widowControl w:val="0"/>
        <w:spacing w:before="120" w:after="120"/>
        <w:ind w:firstLine="720"/>
        <w:jc w:val="both"/>
      </w:pPr>
      <w:r>
        <w:rPr>
          <w:lang w:val="nl-NL"/>
        </w:rPr>
        <w:t>Trên đây là Tờ trình dự thảo Nghị quyết của Hội đồng nhân dân tỉnh  Quy định nội dung và mức chi hoạt động khuyến công trên địa bàn tỉnh Điện Biên. Ủy ban nhân dân tỉnh Điện Biên kính trình Hội đồng nhân dân tỉnh Điện Biên  xem xét, quyết định./.</w:t>
      </w:r>
    </w:p>
    <w:p>
      <w:pPr>
        <w:spacing w:line="312" w:lineRule="auto"/>
        <w:ind w:firstLine="454"/>
        <w:jc w:val="both"/>
        <w:rPr>
          <w:sz w:val="12"/>
          <w:lang w:val="nl-NL"/>
        </w:rPr>
      </w:pPr>
    </w:p>
    <w:tbl>
      <w:tblPr>
        <w:tblW w:w="0" w:type="auto"/>
        <w:tblInd w:w="108" w:type="dxa"/>
        <w:tblBorders>
          <w:insideH w:val="single" w:sz="4" w:space="0" w:color="auto"/>
        </w:tblBorders>
        <w:tblLook w:val="01E0" w:firstRow="1" w:lastRow="1" w:firstColumn="1" w:lastColumn="1" w:noHBand="0" w:noVBand="0"/>
      </w:tblPr>
      <w:tblGrid>
        <w:gridCol w:w="4536"/>
        <w:gridCol w:w="4536"/>
      </w:tblGrid>
      <w:tr>
        <w:trPr>
          <w:trHeight w:val="2076"/>
        </w:trPr>
        <w:tc>
          <w:tcPr>
            <w:tcW w:w="4536" w:type="dxa"/>
          </w:tcPr>
          <w:p>
            <w:pPr>
              <w:widowControl w:val="0"/>
              <w:jc w:val="both"/>
              <w:rPr>
                <w:b/>
                <w:i/>
                <w:sz w:val="24"/>
                <w:lang w:val="nl-NL"/>
              </w:rPr>
            </w:pPr>
            <w:r>
              <w:rPr>
                <w:b/>
                <w:i/>
                <w:sz w:val="24"/>
                <w:lang w:val="nl-NL"/>
              </w:rPr>
              <w:t>Nơi nhận:</w:t>
            </w:r>
          </w:p>
          <w:p>
            <w:pPr>
              <w:widowControl w:val="0"/>
              <w:jc w:val="both"/>
              <w:rPr>
                <w:sz w:val="22"/>
                <w:szCs w:val="22"/>
                <w:lang w:val="nl-NL"/>
              </w:rPr>
            </w:pPr>
            <w:r>
              <w:rPr>
                <w:sz w:val="22"/>
                <w:szCs w:val="22"/>
                <w:lang w:val="nl-NL"/>
              </w:rPr>
              <w:t>- Như trên;</w:t>
            </w:r>
          </w:p>
          <w:p>
            <w:pPr>
              <w:widowControl w:val="0"/>
              <w:jc w:val="both"/>
              <w:rPr>
                <w:lang w:val="nl-NL"/>
              </w:rPr>
            </w:pPr>
            <w:r>
              <w:rPr>
                <w:sz w:val="22"/>
                <w:szCs w:val="22"/>
                <w:lang w:val="nl-NL"/>
              </w:rPr>
              <w:t>- Lưu: VT, KTs.</w:t>
            </w:r>
          </w:p>
        </w:tc>
        <w:tc>
          <w:tcPr>
            <w:tcW w:w="4536" w:type="dxa"/>
          </w:tcPr>
          <w:p>
            <w:pPr>
              <w:widowControl w:val="0"/>
              <w:jc w:val="center"/>
              <w:rPr>
                <w:b/>
                <w:lang w:val="nl-NL"/>
              </w:rPr>
            </w:pPr>
            <w:r>
              <w:rPr>
                <w:b/>
              </w:rPr>
              <w:t xml:space="preserve"> </w:t>
            </w:r>
            <w:r>
              <w:rPr>
                <w:b/>
                <w:lang w:val="nl-NL"/>
              </w:rPr>
              <w:t xml:space="preserve"> TM. ỦY BAN NHÂN DÂN</w:t>
            </w:r>
            <w:r>
              <w:rPr>
                <w:b/>
                <w:lang w:val="nl-NL"/>
              </w:rPr>
              <w:br/>
              <w:t>CHỦ TỊCH</w:t>
            </w:r>
          </w:p>
          <w:p>
            <w:pPr>
              <w:widowControl w:val="0"/>
              <w:jc w:val="center"/>
              <w:rPr>
                <w:b/>
              </w:rPr>
            </w:pPr>
            <w:r>
              <w:rPr>
                <w:b/>
              </w:rPr>
              <w:t xml:space="preserve"> </w:t>
            </w:r>
          </w:p>
          <w:p>
            <w:pPr>
              <w:widowControl w:val="0"/>
              <w:jc w:val="center"/>
              <w:rPr>
                <w:b/>
              </w:rPr>
            </w:pPr>
          </w:p>
          <w:p>
            <w:pPr>
              <w:widowControl w:val="0"/>
              <w:jc w:val="center"/>
              <w:rPr>
                <w:b/>
              </w:rPr>
            </w:pPr>
          </w:p>
          <w:p>
            <w:pPr>
              <w:widowControl w:val="0"/>
              <w:jc w:val="center"/>
              <w:rPr>
                <w:b/>
              </w:rPr>
            </w:pPr>
          </w:p>
          <w:p>
            <w:pPr>
              <w:widowControl w:val="0"/>
              <w:jc w:val="center"/>
              <w:rPr>
                <w:b/>
              </w:rPr>
            </w:pPr>
          </w:p>
          <w:p>
            <w:pPr>
              <w:widowControl w:val="0"/>
              <w:jc w:val="center"/>
              <w:rPr>
                <w:b/>
              </w:rPr>
            </w:pPr>
          </w:p>
          <w:p>
            <w:pPr>
              <w:widowControl w:val="0"/>
              <w:jc w:val="center"/>
              <w:rPr>
                <w:b/>
              </w:rPr>
            </w:pPr>
            <w:r>
              <w:rPr>
                <w:b/>
              </w:rPr>
              <w:t xml:space="preserve"> </w:t>
            </w:r>
          </w:p>
        </w:tc>
      </w:tr>
    </w:tbl>
    <w:p>
      <w:pPr>
        <w:rPr>
          <w:lang w:val="nl-NL"/>
        </w:rPr>
      </w:pPr>
    </w:p>
    <w:p>
      <w:pPr>
        <w:rPr>
          <w:lang w:val="nl-NL"/>
        </w:rPr>
      </w:pPr>
      <w:r>
        <w:rPr>
          <w:lang w:val="nl-NL"/>
        </w:rPr>
        <w:br w:type="page"/>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1"/>
        <w:gridCol w:w="5777"/>
      </w:tblGrid>
      <w:t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rPr>
                <w:sz w:val="26"/>
                <w:szCs w:val="26"/>
              </w:rPr>
            </w:pPr>
            <w:r>
              <w:rPr>
                <w:b/>
                <w:bCs/>
                <w:noProof/>
                <w:sz w:val="26"/>
                <w:szCs w:val="26"/>
              </w:rPr>
              <w:lastRenderedPageBreak/>
              <mc:AlternateContent>
                <mc:Choice Requires="wps">
                  <w:drawing>
                    <wp:anchor distT="0" distB="0" distL="114300" distR="114300" simplePos="0" relativeHeight="251666432" behindDoc="0" locked="0" layoutInCell="1" allowOverlap="1">
                      <wp:simplePos x="0" y="0"/>
                      <wp:positionH relativeFrom="column">
                        <wp:posOffset>762000</wp:posOffset>
                      </wp:positionH>
                      <wp:positionV relativeFrom="paragraph">
                        <wp:posOffset>476250</wp:posOffset>
                      </wp:positionV>
                      <wp:extent cx="5619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pt,37.5pt" to="104.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" strokecolor="#4579b8 [3044]"/>
                  </w:pict>
                </mc:Fallback>
              </mc:AlternateContent>
            </w:r>
            <w:r>
              <w:rPr>
                <w:b/>
                <w:bCs/>
                <w:sz w:val="26"/>
                <w:szCs w:val="26"/>
              </w:rPr>
              <w:t>HỘI ĐỒNG NHÂN DÂN</w:t>
            </w:r>
            <w:r>
              <w:rPr>
                <w:b/>
                <w:bCs/>
                <w:sz w:val="26"/>
                <w:szCs w:val="26"/>
              </w:rPr>
              <w:br/>
              <w:t>TỈNH ĐIỆN BIÊN</w:t>
            </w:r>
            <w:r>
              <w:rPr>
                <w:b/>
                <w:bCs/>
                <w:sz w:val="26"/>
                <w:szCs w:val="26"/>
              </w:rPr>
              <w:br/>
              <w:t xml:space="preserve">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rPr>
                <w:sz w:val="26"/>
                <w:szCs w:val="26"/>
              </w:rPr>
            </w:pPr>
            <w:r>
              <w:rPr>
                <w:b/>
                <w:bCs/>
                <w:noProof/>
                <w:sz w:val="26"/>
                <w:szCs w:val="26"/>
              </w:rPr>
              <mc:AlternateContent>
                <mc:Choice Requires="wps">
                  <w:drawing>
                    <wp:anchor distT="0" distB="0" distL="114300" distR="114300" simplePos="0" relativeHeight="251665408" behindDoc="0" locked="0" layoutInCell="1" allowOverlap="1">
                      <wp:simplePos x="0" y="0"/>
                      <wp:positionH relativeFrom="column">
                        <wp:posOffset>841883</wp:posOffset>
                      </wp:positionH>
                      <wp:positionV relativeFrom="paragraph">
                        <wp:posOffset>476250</wp:posOffset>
                      </wp:positionV>
                      <wp:extent cx="19278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1927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3pt,37.5pt" to="218.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" strokecolor="#4579b8 [3044]"/>
                  </w:pict>
                </mc:Fallback>
              </mc:AlternateContent>
            </w:r>
            <w:r>
              <w:rPr>
                <w:b/>
                <w:bCs/>
                <w:sz w:val="26"/>
                <w:szCs w:val="26"/>
              </w:rPr>
              <w:t>CỘNG HÒA XÃ HỘI CHỦ NGHĨA VIỆT NAM</w:t>
            </w:r>
            <w:r>
              <w:rPr>
                <w:b/>
                <w:bCs/>
                <w:sz w:val="26"/>
                <w:szCs w:val="26"/>
              </w:rPr>
              <w:br/>
              <w:t>Độc lập - Tự do - Hạnh phúc</w:t>
            </w:r>
            <w:r>
              <w:rPr>
                <w:b/>
                <w:bCs/>
                <w:sz w:val="26"/>
                <w:szCs w:val="26"/>
              </w:rPr>
              <w:br/>
              <w:t xml:space="preserve"> </w:t>
            </w:r>
          </w:p>
        </w:tc>
      </w:tr>
      <w:tr>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pPr>
            <w:r>
              <w:t>Số:           /2025/NQ-HĐND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right"/>
            </w:pPr>
            <w:r>
              <w:rPr>
                <w:i/>
                <w:iCs/>
              </w:rPr>
              <w:t>Điện Biên, ngày      tháng 6 năm 2025</w:t>
            </w:r>
          </w:p>
        </w:tc>
      </w:tr>
    </w:tbl>
    <w:p>
      <w:pPr>
        <w:spacing w:before="120" w:after="280" w:afterAutospacing="1"/>
      </w:pPr>
      <w:r>
        <w:t> </w:t>
      </w:r>
    </w:p>
    <w:p>
      <w:pPr>
        <w:jc w:val="center"/>
        <w:rPr>
          <w:b/>
          <w:bCs/>
        </w:rPr>
      </w:pPr>
      <w:bookmarkStart w:id="0" w:name="loai_1"/>
      <w:r>
        <w:rPr>
          <w:b/>
          <w:bCs/>
        </w:rPr>
        <w:t>NGHỊ QUYẾT</w:t>
      </w:r>
      <w:bookmarkStart w:id="1" w:name="loai_1_name"/>
      <w:bookmarkEnd w:id="0"/>
    </w:p>
    <w:p>
      <w:pPr>
        <w:jc w:val="center"/>
        <w:rPr>
          <w:b/>
          <w:bCs/>
        </w:rPr>
      </w:pPr>
      <w:r>
        <w:rPr>
          <w:b/>
          <w:bCs/>
        </w:rPr>
        <w:t xml:space="preserve">Quy định nội dung và mức chi hoạt động khuyến công </w:t>
      </w:r>
    </w:p>
    <w:p>
      <w:pPr>
        <w:jc w:val="center"/>
        <w:rPr>
          <w:b/>
          <w:bCs/>
        </w:rPr>
      </w:pPr>
      <w:r>
        <w:rPr>
          <w:b/>
          <w:bCs/>
        </w:rPr>
        <w:t>trên địa bàn tỉnh Điện Biên.</w:t>
      </w:r>
    </w:p>
    <w:bookmarkEnd w:id="1"/>
    <w:p>
      <w:pPr>
        <w:spacing w:before="120" w:after="280" w:afterAutospacing="1"/>
        <w:jc w:val="center"/>
      </w:pPr>
      <w:r>
        <w:rPr>
          <w:noProof/>
        </w:rPr>
        <mc:AlternateContent>
          <mc:Choice Requires="wps">
            <w:drawing>
              <wp:anchor distT="0" distB="0" distL="114300" distR="114300" simplePos="0" relativeHeight="251667456" behindDoc="0" locked="0" layoutInCell="1" allowOverlap="1">
                <wp:simplePos x="0" y="0"/>
                <wp:positionH relativeFrom="column">
                  <wp:posOffset>2510790</wp:posOffset>
                </wp:positionH>
                <wp:positionV relativeFrom="paragraph">
                  <wp:posOffset>34290</wp:posOffset>
                </wp:positionV>
                <wp:extent cx="8191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7.7pt,2.7pt" to="262.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" strokecolor="#4579b8 [3044]"/>
            </w:pict>
          </mc:Fallback>
        </mc:AlternateContent>
      </w:r>
      <w:r>
        <w:t xml:space="preserve"> </w:t>
      </w:r>
    </w:p>
    <w:p>
      <w:pPr>
        <w:spacing w:before="120" w:after="280" w:afterAutospacing="1"/>
        <w:jc w:val="center"/>
      </w:pPr>
      <w:r>
        <w:rPr>
          <w:b/>
          <w:bCs/>
        </w:rPr>
        <w:t>HỘI ĐỒNG NHÂN DÂN TỈNH ĐIỆN BIÊN</w:t>
      </w:r>
      <w:r>
        <w:rPr>
          <w:b/>
          <w:bCs/>
        </w:rPr>
        <w:br/>
        <w:t>KHÓA XIV, KỲ HỌP THỨ ...........</w:t>
      </w:r>
    </w:p>
    <w:p>
      <w:pPr>
        <w:spacing w:before="120" w:after="120"/>
        <w:ind w:firstLine="720"/>
        <w:jc w:val="both"/>
        <w:rPr>
          <w:i/>
          <w:iCs/>
        </w:rPr>
      </w:pPr>
    </w:p>
    <w:p>
      <w:pPr>
        <w:spacing w:before="120" w:after="120"/>
        <w:ind w:firstLine="720"/>
        <w:jc w:val="both"/>
      </w:pPr>
      <w:r>
        <w:rPr>
          <w:i/>
          <w:iCs/>
        </w:rPr>
        <w:t>Căn cứ Luật Tổ chức chính quyền địa phương ngày 19 tháng 02 năm 2025;</w:t>
      </w:r>
    </w:p>
    <w:p>
      <w:pPr>
        <w:spacing w:before="120" w:after="120"/>
        <w:ind w:firstLine="720"/>
        <w:jc w:val="both"/>
      </w:pPr>
      <w:r>
        <w:rPr>
          <w:i/>
          <w:iCs/>
        </w:rPr>
        <w:t>Căn cứ Luật Ngân sách nhà nước ngày 25 tháng 6 năm 2015;</w:t>
      </w:r>
    </w:p>
    <w:p>
      <w:pPr>
        <w:spacing w:before="120" w:after="120"/>
        <w:ind w:firstLine="720"/>
        <w:jc w:val="both"/>
      </w:pPr>
      <w:r>
        <w:rPr>
          <w:i/>
          <w:iCs/>
        </w:rPr>
        <w:t>Căn cứ Nghị định số 45/2012/NĐ-CP ngày 21 tháng 5 năm 2012 của Chính phủ về khuyến công; Nghị định số      /2025/NĐ-CP ngày  tháng  năm 2025 của Chính Phủ Sửa đổi, bổ sung một số điều của Nghị định số 45/2012/NĐ-CP ngày 21 tháng 5 năm 2012 của Chính phủ về khuyến công;</w:t>
      </w:r>
    </w:p>
    <w:p>
      <w:pPr>
        <w:spacing w:before="120" w:after="120"/>
        <w:ind w:firstLine="720"/>
        <w:jc w:val="both"/>
      </w:pPr>
      <w:r>
        <w:rPr>
          <w:i/>
          <w:iCs/>
        </w:rPr>
        <w:t>Căn cứ Thông tư số 46/2012/TT-BCT ngày 28 tháng 12 năm 2012 của Bộ trưởng Bộ Công Thương quy định chi tiết một số nội dung của Nghị định số 45/2012/NĐ-CP ngày 21 tháng 5 năm 2012 của Chính phủ về khuyến công;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w:t>
      </w:r>
    </w:p>
    <w:p>
      <w:pPr>
        <w:spacing w:before="120" w:after="120"/>
        <w:ind w:firstLine="720"/>
        <w:jc w:val="both"/>
      </w:pPr>
      <w:r>
        <w:rPr>
          <w:i/>
          <w:iCs/>
        </w:rPr>
        <w:t>Căn cứ Thông tư số 28/2018/TT-BTC ngày 28 tháng 3 năm 2018 của Bộ trưởng Bộ Tài chính hướng dẫn lập, quản lý, sử dụng kinh phí khuyến công; Thông tư số 64/2024/TT-BTC ngày 28 tháng 8 năm 2024 của Bộ trưởng Bộ Tài chính sửa đổi, bổ sung một số điều của Thông tư số 28/2018/TT-BTC ngày 28 tháng 3 năm 2018 của Bộ trưởng Bộ Tài chính hướng dẫn lập, quản lý, sử dụng kinh phí khuyến công;</w:t>
      </w:r>
    </w:p>
    <w:p>
      <w:pPr>
        <w:spacing w:before="120" w:after="120"/>
        <w:ind w:firstLine="720"/>
        <w:jc w:val="both"/>
      </w:pPr>
      <w:r>
        <w:rPr>
          <w:i/>
          <w:iCs/>
        </w:rPr>
        <w:t>Xét Tờ trình số     /TTr-UBND ngày      tháng 5 năm 2025 của Ủy ban nhân dân tỉnh Điện Biên về việc trình dự thảo Nghị quyết ban hành Quy định nội dung và mức chi hoạt động khuyến công trên địa bàn tỉnh Điện Biên; Báo cáo thẩm tra của Ban Kinh tế - ngân sách Hội đồng nhân dân tỉnh; ý kiến thảo luận của đại biểu Hội đồng nhân dân tỉnh tại kỳ họp.</w:t>
      </w:r>
    </w:p>
    <w:p>
      <w:pPr>
        <w:spacing w:before="120" w:after="120"/>
        <w:jc w:val="center"/>
      </w:pPr>
      <w:r>
        <w:rPr>
          <w:b/>
          <w:bCs/>
        </w:rPr>
        <w:lastRenderedPageBreak/>
        <w:t>QUYẾT NGHỊ:</w:t>
      </w:r>
    </w:p>
    <w:p>
      <w:pPr>
        <w:spacing w:before="120" w:after="120"/>
        <w:ind w:firstLine="720"/>
        <w:jc w:val="both"/>
      </w:pPr>
      <w:bookmarkStart w:id="2" w:name="dieu_1"/>
      <w:r>
        <w:rPr>
          <w:b/>
          <w:bCs/>
        </w:rPr>
        <w:t>Điều 1.</w:t>
      </w:r>
      <w:r>
        <w:t xml:space="preserve"> Ban hành kèm theo Nghị quyết này Quy định nội dung và mức chi hoạt động khuyến công trên địa bàn tỉnh Điện Biên.</w:t>
      </w:r>
      <w:bookmarkEnd w:id="2"/>
    </w:p>
    <w:p>
      <w:pPr>
        <w:spacing w:before="120" w:after="120"/>
        <w:ind w:firstLine="720"/>
      </w:pPr>
      <w:bookmarkStart w:id="3" w:name="dieu_2"/>
      <w:r>
        <w:rPr>
          <w:b/>
          <w:bCs/>
        </w:rPr>
        <w:t>Điều 2. Tổ chức thực hiện</w:t>
      </w:r>
      <w:bookmarkEnd w:id="3"/>
    </w:p>
    <w:p>
      <w:pPr>
        <w:spacing w:before="120" w:after="120"/>
        <w:ind w:firstLine="720"/>
        <w:jc w:val="both"/>
      </w:pPr>
      <w:r>
        <w:t>1. Giao Ủy ban nhân dân tỉnh tổ chức thực hiện Nghị quyết theo đúng quy định của pháp luật.</w:t>
      </w:r>
    </w:p>
    <w:p>
      <w:pPr>
        <w:spacing w:before="120" w:after="120"/>
        <w:ind w:firstLine="720"/>
        <w:jc w:val="both"/>
      </w:pPr>
      <w:r>
        <w:t>2. Giao Thường trực Hội đồng nhân dân tỉnh, các Ban Hội đồng nhân dân tỉnh, các Tổ đại biểu Hội đồng nhân dân tỉnh và đại biểu Hội đồng nhân dân tỉnh giám sát việc thực hiện Nghị quyết.</w:t>
      </w:r>
    </w:p>
    <w:p>
      <w:pPr>
        <w:spacing w:before="120" w:after="120"/>
        <w:ind w:firstLine="720"/>
        <w:jc w:val="both"/>
      </w:pPr>
      <w:r>
        <w:t>Nghị quyết này đã được Hội đồng nhân dân tỉnh Điện Biên Khóa XIV, Kỳ họp thứ ......... thông qua ngày      tháng 6 năm 2025 và có hiệu lực từ ngày ..... tháng ....năm 2025./.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536"/>
      </w:tblGrid>
      <w:tr>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pPr>
              <w:rPr>
                <w:sz w:val="22"/>
                <w:szCs w:val="22"/>
                <w:lang w:val="it-IT"/>
              </w:rPr>
            </w:pPr>
            <w:r>
              <w:t> </w:t>
            </w:r>
            <w:r>
              <w:rPr>
                <w:b/>
                <w:bCs/>
                <w:i/>
                <w:iCs/>
              </w:rPr>
              <w:t>Nơi nhận:</w:t>
            </w:r>
            <w:r>
              <w:rPr>
                <w:b/>
                <w:bCs/>
                <w:i/>
                <w:iCs/>
              </w:rPr>
              <w:br/>
            </w:r>
            <w:r>
              <w:rPr>
                <w:sz w:val="22"/>
                <w:szCs w:val="22"/>
                <w:lang w:val="it-IT"/>
              </w:rPr>
              <w:t>- Uỷ ban thường vụ Quốc hội</w:t>
            </w:r>
          </w:p>
          <w:p>
            <w:pPr>
              <w:rPr>
                <w:sz w:val="22"/>
                <w:szCs w:val="22"/>
                <w:lang w:val="it-IT"/>
              </w:rPr>
            </w:pPr>
            <w:r>
              <w:rPr>
                <w:sz w:val="22"/>
                <w:szCs w:val="22"/>
                <w:lang w:val="it-IT"/>
              </w:rPr>
              <w:t>- Chính Phủ;</w:t>
            </w:r>
          </w:p>
          <w:p>
            <w:pPr>
              <w:rPr>
                <w:sz w:val="22"/>
                <w:szCs w:val="22"/>
                <w:lang w:val="it-IT"/>
              </w:rPr>
            </w:pPr>
            <w:r>
              <w:rPr>
                <w:sz w:val="22"/>
                <w:szCs w:val="22"/>
                <w:lang w:val="it-IT"/>
              </w:rPr>
              <w:t>- Cục kiểm tra VBQPPL Bộ Tư pháp;</w:t>
            </w:r>
          </w:p>
          <w:p>
            <w:pPr>
              <w:rPr>
                <w:sz w:val="22"/>
                <w:szCs w:val="22"/>
                <w:lang w:val="it-IT"/>
              </w:rPr>
            </w:pPr>
            <w:r>
              <w:rPr>
                <w:sz w:val="22"/>
                <w:szCs w:val="22"/>
                <w:lang w:val="it-IT"/>
              </w:rPr>
              <w:t>-  Bộ Công Thương;</w:t>
            </w:r>
          </w:p>
          <w:p>
            <w:pPr>
              <w:rPr>
                <w:sz w:val="22"/>
                <w:szCs w:val="22"/>
                <w:lang w:val="it-IT"/>
              </w:rPr>
            </w:pPr>
            <w:r>
              <w:rPr>
                <w:sz w:val="22"/>
                <w:szCs w:val="22"/>
                <w:lang w:val="it-IT"/>
              </w:rPr>
              <w:t>- TT Tỉnh ủy,  TT HĐND tỉnh;</w:t>
            </w:r>
          </w:p>
          <w:p>
            <w:pPr>
              <w:rPr>
                <w:sz w:val="22"/>
                <w:szCs w:val="22"/>
                <w:lang w:val="it-IT"/>
              </w:rPr>
            </w:pPr>
            <w:r>
              <w:rPr>
                <w:sz w:val="22"/>
                <w:szCs w:val="22"/>
                <w:lang w:val="it-IT"/>
              </w:rPr>
              <w:t>- UBND tỉnh;</w:t>
            </w:r>
          </w:p>
          <w:p>
            <w:pPr>
              <w:rPr>
                <w:sz w:val="22"/>
                <w:szCs w:val="22"/>
                <w:lang w:val="it-IT"/>
              </w:rPr>
            </w:pPr>
            <w:r>
              <w:rPr>
                <w:sz w:val="22"/>
                <w:szCs w:val="22"/>
                <w:lang w:val="it-IT"/>
              </w:rPr>
              <w:t>- UBMTTQ tỉnh;</w:t>
            </w:r>
          </w:p>
          <w:p>
            <w:pPr>
              <w:rPr>
                <w:sz w:val="22"/>
                <w:szCs w:val="22"/>
                <w:lang w:val="it-IT"/>
              </w:rPr>
            </w:pPr>
            <w:r>
              <w:rPr>
                <w:sz w:val="22"/>
                <w:szCs w:val="22"/>
                <w:lang w:val="it-IT"/>
              </w:rPr>
              <w:t>- Đoàn ĐBQH tỉnh;</w:t>
            </w:r>
          </w:p>
          <w:p>
            <w:pPr>
              <w:rPr>
                <w:sz w:val="22"/>
                <w:szCs w:val="22"/>
                <w:lang w:val="it-IT"/>
              </w:rPr>
            </w:pPr>
            <w:r>
              <w:rPr>
                <w:sz w:val="22"/>
                <w:szCs w:val="22"/>
                <w:lang w:val="it-IT"/>
              </w:rPr>
              <w:t>- Các Ban HĐND tỉnh;</w:t>
            </w:r>
          </w:p>
          <w:p>
            <w:pPr>
              <w:rPr>
                <w:sz w:val="22"/>
                <w:szCs w:val="22"/>
                <w:lang w:val="it-IT"/>
              </w:rPr>
            </w:pPr>
            <w:r>
              <w:rPr>
                <w:sz w:val="22"/>
                <w:szCs w:val="22"/>
                <w:lang w:val="it-IT"/>
              </w:rPr>
              <w:t>- Các đại biểu QH, HĐND tỉnh;</w:t>
            </w:r>
          </w:p>
          <w:p>
            <w:pPr>
              <w:rPr>
                <w:sz w:val="22"/>
                <w:szCs w:val="22"/>
                <w:lang w:val="it-IT"/>
              </w:rPr>
            </w:pPr>
            <w:r>
              <w:rPr>
                <w:sz w:val="22"/>
                <w:szCs w:val="22"/>
                <w:lang w:val="it-IT"/>
              </w:rPr>
              <w:t>- Các Sở, Ban, Ngành, đoàn thể tỉnh;</w:t>
            </w:r>
          </w:p>
          <w:p>
            <w:pPr>
              <w:rPr>
                <w:sz w:val="22"/>
                <w:szCs w:val="22"/>
                <w:lang w:val="it-IT"/>
              </w:rPr>
            </w:pPr>
            <w:r>
              <w:rPr>
                <w:sz w:val="22"/>
                <w:szCs w:val="22"/>
                <w:lang w:val="it-IT"/>
              </w:rPr>
              <w:t>- HĐND, UBND các huyện, thị xã, thành phố;</w:t>
            </w:r>
          </w:p>
          <w:p>
            <w:pPr>
              <w:rPr>
                <w:sz w:val="22"/>
                <w:szCs w:val="22"/>
                <w:lang w:val="it-IT"/>
              </w:rPr>
            </w:pPr>
            <w:r>
              <w:rPr>
                <w:sz w:val="22"/>
                <w:szCs w:val="22"/>
                <w:lang w:val="it-IT"/>
              </w:rPr>
              <w:t>- Trung tâm Công báo tỉnh, Báo Điện Biên Phủ;</w:t>
            </w:r>
          </w:p>
          <w:p>
            <w:pPr>
              <w:rPr>
                <w:sz w:val="22"/>
                <w:szCs w:val="22"/>
                <w:lang w:val="it-IT"/>
              </w:rPr>
            </w:pPr>
            <w:r>
              <w:rPr>
                <w:sz w:val="22"/>
                <w:szCs w:val="22"/>
                <w:lang w:val="it-IT"/>
              </w:rPr>
              <w:t>- Cổng Thông tin điện tử tỉnh;</w:t>
            </w:r>
          </w:p>
          <w:p>
            <w:pPr>
              <w:rPr>
                <w:sz w:val="22"/>
                <w:szCs w:val="22"/>
                <w:lang w:val="it-IT"/>
              </w:rPr>
            </w:pPr>
            <w:r>
              <w:rPr>
                <w:sz w:val="22"/>
                <w:szCs w:val="22"/>
                <w:lang w:val="it-IT"/>
              </w:rPr>
              <w:t>- LĐ, CVVP  Đoàn ĐBQH và HĐND tỉnh;</w:t>
            </w:r>
          </w:p>
          <w:p>
            <w:r>
              <w:rPr>
                <w:sz w:val="22"/>
                <w:szCs w:val="22"/>
                <w:lang w:val="it-IT"/>
              </w:rPr>
              <w:t>- Lưu VT, HS kỳ họp.</w:t>
            </w:r>
          </w:p>
        </w:tc>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rPr>
                <w:b/>
                <w:bCs/>
              </w:rPr>
            </w:pPr>
            <w:r>
              <w:rPr>
                <w:b/>
                <w:bCs/>
              </w:rPr>
              <w:t>CHỦ TỊCH</w:t>
            </w:r>
            <w:r>
              <w:rPr>
                <w:b/>
                <w:bCs/>
              </w:rPr>
              <w:br/>
            </w:r>
            <w:r>
              <w:rPr>
                <w:b/>
                <w:bCs/>
              </w:rPr>
              <w:br/>
            </w:r>
            <w:r>
              <w:rPr>
                <w:b/>
                <w:bCs/>
              </w:rPr>
              <w:br/>
            </w:r>
          </w:p>
          <w:p>
            <w:pPr>
              <w:spacing w:before="120"/>
              <w:jc w:val="center"/>
            </w:pPr>
            <w:r>
              <w:rPr>
                <w:b/>
                <w:bCs/>
              </w:rPr>
              <w:br/>
            </w:r>
            <w:r>
              <w:rPr>
                <w:b/>
                <w:bCs/>
              </w:rPr>
              <w:br/>
            </w:r>
          </w:p>
        </w:tc>
      </w:tr>
    </w:tbl>
    <w:p>
      <w:pPr>
        <w:spacing w:before="120" w:after="280" w:afterAutospacing="1"/>
      </w:pPr>
      <w:r>
        <w:t> </w:t>
      </w:r>
    </w:p>
    <w:p>
      <w:pPr>
        <w:rPr>
          <w:b/>
          <w:bCs/>
        </w:rPr>
      </w:pPr>
      <w:bookmarkStart w:id="4" w:name="loai_2"/>
      <w:r>
        <w:rPr>
          <w:b/>
          <w:bCs/>
        </w:rPr>
        <w:br w:type="page"/>
      </w:r>
    </w:p>
    <w:bookmarkEnd w:id="4"/>
    <w:p>
      <w:pPr>
        <w:jc w:val="center"/>
        <w:rPr>
          <w:b/>
          <w:bCs/>
        </w:rPr>
      </w:pPr>
      <w:r>
        <w:rPr>
          <w:b/>
          <w:bCs/>
        </w:rPr>
        <w:lastRenderedPageBreak/>
        <w:t xml:space="preserve"> Quy định nội dung và mức chi hoạt động khuyến công </w:t>
      </w:r>
    </w:p>
    <w:p>
      <w:pPr>
        <w:jc w:val="center"/>
        <w:rPr>
          <w:b/>
          <w:bCs/>
        </w:rPr>
      </w:pPr>
      <w:r>
        <w:rPr>
          <w:b/>
          <w:bCs/>
        </w:rPr>
        <w:t>trên địa bàn tỉnh Điện Biên.</w:t>
      </w:r>
    </w:p>
    <w:p>
      <w:pPr>
        <w:jc w:val="center"/>
      </w:pPr>
      <w:r>
        <w:rPr>
          <w:i/>
          <w:iCs/>
        </w:rPr>
        <w:t>(Kèm theo Nghị quyết số      /2025/NQ-HĐND ngày       tháng     năm 2025 của Hội đồng nhân dân tỉnh Điện Biên)</w:t>
      </w:r>
    </w:p>
    <w:p>
      <w:pPr>
        <w:spacing w:before="120" w:after="120"/>
        <w:rPr>
          <w:b/>
          <w:bCs/>
        </w:rPr>
      </w:pPr>
      <w:bookmarkStart w:id="5" w:name="dieu_1_1"/>
    </w:p>
    <w:p>
      <w:pPr>
        <w:spacing w:before="120" w:after="120"/>
        <w:ind w:firstLine="720"/>
      </w:pPr>
      <w:r>
        <w:rPr>
          <w:b/>
          <w:bCs/>
        </w:rPr>
        <w:t>Điều 1. Phạm vi điều chỉnh</w:t>
      </w:r>
      <w:bookmarkEnd w:id="5"/>
    </w:p>
    <w:p>
      <w:pPr>
        <w:spacing w:before="120" w:after="120"/>
        <w:ind w:firstLine="720"/>
        <w:jc w:val="both"/>
      </w:pPr>
      <w:r>
        <w:t>Nghị quyết này quy định nội dung và mức chi cho các hoạt động khuyến công trên địa bàn tỉnh Điện Biên (gọi tắt là hoạt động khuyến công địa phương).</w:t>
      </w:r>
    </w:p>
    <w:p>
      <w:pPr>
        <w:spacing w:before="120" w:after="120"/>
        <w:ind w:firstLine="720"/>
      </w:pPr>
      <w:bookmarkStart w:id="6" w:name="dieu_2_1"/>
      <w:r>
        <w:rPr>
          <w:b/>
          <w:bCs/>
        </w:rPr>
        <w:t>Điều 2. Đối tượng áp dụng</w:t>
      </w:r>
      <w:bookmarkEnd w:id="6"/>
    </w:p>
    <w:p>
      <w:pPr>
        <w:spacing w:before="120" w:after="120"/>
        <w:ind w:firstLine="720"/>
        <w:jc w:val="both"/>
        <w:rPr>
          <w:iCs/>
        </w:rPr>
      </w:pPr>
      <w:bookmarkStart w:id="7" w:name="dieu_3"/>
      <w:bookmarkStart w:id="8" w:name="_GoBack"/>
      <w:r>
        <w:rPr>
          <w:iCs/>
        </w:rPr>
        <w:t xml:space="preserve">a) Doanh nghiệp nhỏ và vừa, hợp tác xã, tổ hợp tác, hộ kinh doanh thành lập và hoạt động theo quy định của pháp luật trực tiếp đầu tư, sản xuất công nghiệp, tiểu thủ công nghiệp trên địa bàn tỉnh Điện Biên (gọi chung là cơ sở công nghiệp nông thôn).  </w:t>
      </w:r>
    </w:p>
    <w:p>
      <w:pPr>
        <w:spacing w:before="120" w:after="120"/>
        <w:ind w:firstLine="720"/>
        <w:jc w:val="both"/>
        <w:rPr>
          <w:iCs/>
        </w:rPr>
      </w:pPr>
      <w:r>
        <w:rPr>
          <w:iCs/>
        </w:rPr>
        <w:t>b) Các cơ sở sản xuất công nghiệp áp dụng sản xuất sạch hơn.</w:t>
      </w:r>
    </w:p>
    <w:p>
      <w:pPr>
        <w:spacing w:before="120" w:after="120"/>
        <w:ind w:firstLine="720"/>
        <w:jc w:val="both"/>
        <w:rPr>
          <w:iCs/>
        </w:rPr>
      </w:pPr>
      <w:r>
        <w:rPr>
          <w:iCs/>
        </w:rPr>
        <w:t>c) Tổ chức, cá nhân trong nước và nước ngoài tham gia công tác quản lý, thực hiện hoạt động dịch vụ khuyến công.</w:t>
      </w:r>
    </w:p>
    <w:bookmarkEnd w:id="8"/>
    <w:p>
      <w:pPr>
        <w:spacing w:before="120" w:after="120"/>
        <w:ind w:firstLine="720"/>
      </w:pPr>
      <w:r>
        <w:rPr>
          <w:b/>
          <w:bCs/>
        </w:rPr>
        <w:t>Điều 3. Nguồn kinh phí</w:t>
      </w:r>
      <w:bookmarkEnd w:id="7"/>
    </w:p>
    <w:p>
      <w:pPr>
        <w:spacing w:before="120" w:after="120"/>
        <w:ind w:firstLine="720"/>
        <w:jc w:val="both"/>
      </w:pPr>
      <w:bookmarkStart w:id="9" w:name="dieu_4"/>
      <w:r>
        <w:t>1. Ngân sách tỉnh bảo đảm kinh phí cho các hoạt động khuyến công địa phương do Ủy ban nhân dân tỉnh quyết định và giao cho Sở Công Thương tổ chức thực hiện.</w:t>
      </w:r>
    </w:p>
    <w:p>
      <w:pPr>
        <w:spacing w:before="120" w:after="120"/>
        <w:ind w:firstLine="720"/>
        <w:jc w:val="both"/>
      </w:pPr>
      <w:r>
        <w:t>2. Huy động, lồng ghép các dự án thuộc Chương trình mục tiêu quốc gia, Chương trình mục tiêu và các Chương trình phát triển kinh tế - xã hội; các nguồn tài chính hợp pháp khác theo quy định của pháp luật.</w:t>
      </w:r>
    </w:p>
    <w:p>
      <w:pPr>
        <w:spacing w:before="120" w:after="120"/>
        <w:ind w:firstLine="720"/>
        <w:jc w:val="both"/>
      </w:pPr>
      <w:r>
        <w:rPr>
          <w:b/>
          <w:bCs/>
        </w:rPr>
        <w:t>Điều 4. Nội dung chi cho các hoạt động khuyến công địa phương</w:t>
      </w:r>
      <w:bookmarkEnd w:id="9"/>
    </w:p>
    <w:p>
      <w:pPr>
        <w:spacing w:before="120" w:after="120"/>
        <w:ind w:firstLine="720"/>
        <w:jc w:val="both"/>
      </w:pPr>
      <w:r>
        <w:t>Nội dung chi hoạt động khuyến công địa phương thực hiện theo quy định tại Điều 6 Thông tư số 28/2018/TT-BTC ngày 28 tháng 3 năm 2018 của Bộ trưởng Bộ Tài chính hướng dẫn lập, quản lý, sử dụng kinh phí khuyến công.</w:t>
      </w:r>
    </w:p>
    <w:p>
      <w:pPr>
        <w:spacing w:before="120" w:after="120"/>
        <w:ind w:firstLine="720"/>
        <w:rPr>
          <w:b/>
          <w:bCs/>
        </w:rPr>
      </w:pPr>
      <w:bookmarkStart w:id="10" w:name="dieu_5"/>
      <w:r>
        <w:rPr>
          <w:b/>
          <w:bCs/>
        </w:rPr>
        <w:t>Điều 5. Mức chi cho các hoạt động khuyến công địa phương</w:t>
      </w:r>
      <w:bookmarkEnd w:id="10"/>
    </w:p>
    <w:p>
      <w:pPr>
        <w:spacing w:before="120" w:after="120"/>
        <w:ind w:firstLine="720"/>
        <w:jc w:val="both"/>
        <w:rPr>
          <w:lang w:val="nl-NL"/>
        </w:rPr>
      </w:pPr>
      <w:r>
        <w:rPr>
          <w:lang w:val="nl-NL"/>
        </w:rPr>
        <w:t>1. Chi hỗ trợ thành lập doanh nghiệp sản xuất công nghiệp nông thôn tại các địa bàn có điều kiện kinh tế - xã hội khó khăn và đặc biệt khó khăn theo quy định của pháp luật, bao gồm: Hoàn thiện kế hoạch kinh doanh; Dự án thành lập doanh nghiệp và chi phí liên quan đến đăng ký thành lập doanh nghiệp. Mức hỗ trợ không quá 10 triệu đồng/doanh nghiệp.</w:t>
      </w:r>
    </w:p>
    <w:p>
      <w:pPr>
        <w:spacing w:before="120" w:after="120"/>
        <w:ind w:firstLine="720"/>
        <w:rPr>
          <w:lang w:val="nl-NL"/>
        </w:rPr>
      </w:pPr>
      <w:r>
        <w:rPr>
          <w:lang w:val="nl-NL"/>
        </w:rPr>
        <w:t>2. Chi hỗ trợ xây dựng mô hình trình diễn kỹ thuật</w:t>
      </w:r>
    </w:p>
    <w:p>
      <w:pPr>
        <w:spacing w:before="120" w:after="120"/>
        <w:ind w:firstLine="720"/>
        <w:jc w:val="both"/>
        <w:rPr>
          <w:lang w:val="nl-NL"/>
        </w:rPr>
      </w:pPr>
      <w:r>
        <w:rPr>
          <w:lang w:val="nl-NL"/>
        </w:rPr>
        <w:t>a) Mô hình trình diễn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tối đa 30% chi phí, nhưng không quá 300 triệu đồng/mô hình.</w:t>
      </w:r>
    </w:p>
    <w:p>
      <w:pPr>
        <w:spacing w:before="120" w:after="120"/>
        <w:jc w:val="both"/>
        <w:rPr>
          <w:lang w:val="nl-NL"/>
        </w:rPr>
      </w:pPr>
      <w:r>
        <w:rPr>
          <w:lang w:val="nl-NL"/>
        </w:rPr>
        <w:lastRenderedPageBreak/>
        <w:t>Được hỗ trợ xây dựng trên địa bàn cấp huyện 2 mô hình cho cùng một nội dung phổ biến công nghệ mới hoặc sản phẩm mới, nhưng mô hình thứ 2 không thuộc địa bàn cùng xã với mô hình thứ nhất.</w:t>
      </w:r>
    </w:p>
    <w:p>
      <w:pPr>
        <w:spacing w:before="120" w:after="120"/>
        <w:ind w:firstLine="720"/>
        <w:jc w:val="both"/>
        <w:rPr>
          <w:lang w:val="nl-NL"/>
        </w:rPr>
      </w:pPr>
      <w:r>
        <w:rPr>
          <w:lang w:val="nl-NL"/>
        </w:rPr>
        <w:t>b) Mô hình của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không quá 100 triệu đồng/mô hình.</w:t>
      </w:r>
    </w:p>
    <w:p>
      <w:pPr>
        <w:spacing w:before="120" w:after="120"/>
        <w:ind w:firstLine="720"/>
        <w:jc w:val="both"/>
        <w:rPr>
          <w:lang w:val="nl-NL"/>
        </w:rPr>
      </w:pPr>
      <w:r>
        <w:rPr>
          <w:lang w:val="nl-NL"/>
        </w:rPr>
        <w:t>3. Chi hỗ trợ xây dựng các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tối đa 30% chi phí, nhưng không quá 300 triệu đồng/mô hình.</w:t>
      </w:r>
    </w:p>
    <w:p>
      <w:pPr>
        <w:spacing w:before="120" w:after="120"/>
        <w:ind w:firstLine="720"/>
        <w:jc w:val="both"/>
        <w:rPr>
          <w:lang w:val="nl-NL"/>
        </w:rPr>
      </w:pPr>
      <w:r>
        <w:rPr>
          <w:lang w:val="nl-NL"/>
        </w:rPr>
        <w:t xml:space="preserve">4. Chi hỗ trợ ứng dụng dây chuyền công nghệ, máy móc thiết bị tiến, chuyển giao công nghệ, tiến bộ khoa học kỹ thuật vào sản xuất công nghiệp, tiểu thủ công nghiệp. Mức hỗ trợ tối đa 50% chi phí, nhưng không quá 300 triệu đồng/cơ sở. </w:t>
      </w:r>
    </w:p>
    <w:p>
      <w:pPr>
        <w:spacing w:before="120" w:after="120"/>
        <w:ind w:firstLine="720"/>
        <w:jc w:val="both"/>
        <w:rPr>
          <w:lang w:val="nl-NL"/>
        </w:rPr>
      </w:pPr>
      <w:r>
        <w:rPr>
          <w:lang w:val="nl-NL"/>
        </w:rPr>
        <w:t>5. Chi hỗ trợ tổ chức hội chợ triển lãm hàng công nghiệp nông thôn, hàng thủ công mỹ nghệ trong nước, bao gồm: Hỗ trợ 100% chi phí thuê gian hàng, chi thông tin tuyên truyền và chi hoạt động của Ban tổ chức hội chợ triển lãm trên cơ sở giá đấu thầu hoặc trường hợp không đủ điều kiện đấu thầu thì theo giá được cấp có thẩm quyền phê duyệt.</w:t>
      </w:r>
    </w:p>
    <w:p>
      <w:pPr>
        <w:spacing w:before="120" w:after="120"/>
        <w:ind w:firstLine="720"/>
        <w:jc w:val="both"/>
        <w:rPr>
          <w:lang w:val="nl-NL"/>
        </w:rPr>
      </w:pPr>
      <w:r>
        <w:rPr>
          <w:lang w:val="nl-NL"/>
        </w:rPr>
        <w:t>Trường hợp các cơ sở công nghiệp nông thôn tham gia hội chợ, triển lãm khác trong nước: Mức hỗ trợ bằng 80% giá thuê gian hàng.</w:t>
      </w:r>
    </w:p>
    <w:p>
      <w:pPr>
        <w:spacing w:before="120" w:after="120"/>
        <w:ind w:firstLine="720"/>
        <w:jc w:val="both"/>
        <w:rPr>
          <w:lang w:val="nl-NL"/>
        </w:rPr>
      </w:pPr>
      <w:r>
        <w:rPr>
          <w:lang w:val="nl-NL"/>
        </w:rPr>
        <w:t>6. Chi tham gia hội chợ triển lãm cho các cơ sở công nghiệp nông thôn tại nước ngoài. Hỗ trợ 100% các khoản chi phí, bao gồm: Thuê mặt bằng, thiết kế, dàn dựng gian hàng, trang trí chung. Các khoản chi phí được xác định trên cơ sở giá đấu thầu hoặc trường hợp không đủ điều kiện đấu thầu thì theo giá được cấp có thẩm quyền phê duyệt.</w:t>
      </w:r>
    </w:p>
    <w:p>
      <w:pPr>
        <w:spacing w:before="120" w:after="120"/>
        <w:ind w:firstLine="720"/>
        <w:jc w:val="both"/>
        <w:rPr>
          <w:lang w:val="nl-NL"/>
        </w:rPr>
      </w:pPr>
      <w:r>
        <w:rPr>
          <w:lang w:val="nl-NL"/>
        </w:rPr>
        <w:t>7. Tham quan, khảo sát học tập kinh nghiệm trong và ngoài nước</w:t>
      </w:r>
    </w:p>
    <w:p>
      <w:pPr>
        <w:spacing w:before="120" w:after="120"/>
        <w:ind w:firstLine="720"/>
        <w:jc w:val="both"/>
        <w:rPr>
          <w:lang w:val="nl-NL"/>
        </w:rPr>
      </w:pPr>
      <w:r>
        <w:rPr>
          <w:lang w:val="nl-NL"/>
        </w:rPr>
        <w:t>a) Tham quan, khảo sát học tập kinh nghiệm ngoài nước:</w:t>
      </w:r>
    </w:p>
    <w:p>
      <w:pPr>
        <w:spacing w:before="120" w:after="120"/>
        <w:ind w:firstLine="720"/>
        <w:jc w:val="both"/>
        <w:rPr>
          <w:lang w:val="nl-NL"/>
        </w:rPr>
      </w:pPr>
      <w:r>
        <w:rPr>
          <w:lang w:val="nl-NL"/>
        </w:rPr>
        <w:t>Mức hỗ trợ các cơ sở công nghiệp nông thôn đi tham gia khảo sát, học tập kinh nghiệm nước ngoài là 100% chi phí vé máy bay. Số người được hỗ trợ theo quyết định của cơ quan có thẩm quyền.</w:t>
      </w:r>
    </w:p>
    <w:p>
      <w:pPr>
        <w:spacing w:before="120" w:after="120"/>
        <w:ind w:firstLine="720"/>
        <w:jc w:val="both"/>
        <w:rPr>
          <w:lang w:val="nl-NL"/>
        </w:rPr>
      </w:pPr>
      <w:r>
        <w:rPr>
          <w:lang w:val="nl-NL"/>
        </w:rPr>
        <w:t>Đối với các đơn vị hành chính, sự nghiệp đi tham quan, khảo sát học tập kinh nghiệm ngoài nước theo Quyết định của Ủy ban nhân dân tỉnh. Mức chi áp dụng theo Thông tư số 102/2012/TT-BTC ngày 21/6/2012 của Bộ Tài chính quy định chế độ công tác phí cho cán bộ, công chức nhà nước đi công tác ngắn hạn ở nước ngoài do ngân sách nhà nước bảo đảm kinh phí.</w:t>
      </w:r>
    </w:p>
    <w:p>
      <w:pPr>
        <w:spacing w:before="120" w:after="120"/>
        <w:ind w:firstLine="720"/>
        <w:jc w:val="both"/>
        <w:rPr>
          <w:lang w:val="nl-NL"/>
        </w:rPr>
      </w:pPr>
      <w:r>
        <w:rPr>
          <w:lang w:val="nl-NL"/>
        </w:rPr>
        <w:lastRenderedPageBreak/>
        <w:t>b) Tham quan, khảo sát học tập kinh nghiệm trong nước:</w:t>
      </w:r>
    </w:p>
    <w:p>
      <w:pPr>
        <w:spacing w:before="120" w:after="120"/>
        <w:ind w:firstLine="720"/>
        <w:jc w:val="both"/>
        <w:rPr>
          <w:lang w:val="nl-NL"/>
        </w:rPr>
      </w:pPr>
      <w:r>
        <w:rPr>
          <w:lang w:val="nl-NL"/>
        </w:rPr>
        <w:t>Hỗ trợ 100% chi phí gồm: Thuê phương tiện đi lại hoặc chi phí tàu xe, vé máy bay; Thuê chỗ ở; Phụ cấp lưu trú; Tổ chức hội thảo, trao đổi kinh nghiệm và các chi phí khác.</w:t>
      </w:r>
    </w:p>
    <w:p>
      <w:pPr>
        <w:spacing w:before="120" w:after="120"/>
        <w:ind w:firstLine="720"/>
        <w:jc w:val="both"/>
        <w:rPr>
          <w:lang w:val="nl-NL"/>
        </w:rPr>
      </w:pPr>
      <w:r>
        <w:rPr>
          <w:lang w:val="nl-NL"/>
        </w:rPr>
        <w:t>Mức chi theo Quyết định số 01/2018/QĐ-UBND ngày 02/01/2018 của Ủy ban nhân dân tỉnh Điện Biên ban hành Quy định chế độ công tác phí, chế độ chi hội nghị của các cơ quan, đơn vị trên địa bàn tỉnh Điện Biên.</w:t>
      </w:r>
    </w:p>
    <w:p>
      <w:pPr>
        <w:spacing w:before="120" w:after="120"/>
        <w:ind w:firstLine="720"/>
        <w:jc w:val="both"/>
        <w:rPr>
          <w:lang w:val="nl-NL"/>
        </w:rPr>
      </w:pPr>
      <w:r>
        <w:rPr>
          <w:lang w:val="nl-NL"/>
        </w:rPr>
        <w:t>8. Chi tổ chức bình chọn và trao giấy chứng nhận sản phẩm công nghiệp nông thôn tiêu biểu cấp tỉnh, cấp huyện</w:t>
      </w:r>
    </w:p>
    <w:p>
      <w:pPr>
        <w:spacing w:before="120" w:after="120"/>
        <w:ind w:firstLine="720"/>
        <w:jc w:val="both"/>
        <w:rPr>
          <w:lang w:val="nl-NL"/>
        </w:rPr>
      </w:pPr>
      <w:r>
        <w:rPr>
          <w:lang w:val="nl-NL"/>
        </w:rPr>
        <w:t>a) Chi tổ chức bình chọn, trao giấy chứng nhận sản phẩm công nghiệp nông thôn tiêu biểu cấp tỉnh không quá 100 triệu đồng/lần; cấp huyện không quá 50 triệu đồng/lần.</w:t>
      </w:r>
    </w:p>
    <w:p>
      <w:pPr>
        <w:spacing w:before="120" w:after="120"/>
        <w:ind w:firstLine="720"/>
        <w:jc w:val="both"/>
        <w:rPr>
          <w:lang w:val="nl-NL"/>
        </w:rPr>
      </w:pPr>
      <w:r>
        <w:rPr>
          <w:lang w:val="nl-NL"/>
        </w:rPr>
        <w:t>b) Chi thưởng cho sản phẩm công nghiệp nông thôn tiêu biểu cấp tỉnh không quá 3 triệu đồng/sản phẩm; cấp huyện không quá 2 triệu đồng/sản phẩm.</w:t>
      </w:r>
    </w:p>
    <w:p>
      <w:pPr>
        <w:spacing w:before="120" w:after="120"/>
        <w:ind w:firstLine="720"/>
        <w:jc w:val="both"/>
        <w:rPr>
          <w:lang w:val="nl-NL"/>
        </w:rPr>
      </w:pPr>
      <w:r>
        <w:rPr>
          <w:lang w:val="nl-NL"/>
        </w:rPr>
        <w:t>9. Chi hỗ trợ xây dựng và đăng ký nhãn hiệu đối với các sản phẩm công nghiệp nông thôn: Mức hỗ trợ tối đa không quá 35 triệu đồng/nhãn hiệu.</w:t>
      </w:r>
    </w:p>
    <w:p>
      <w:pPr>
        <w:spacing w:before="120" w:after="120"/>
        <w:ind w:firstLine="720"/>
        <w:jc w:val="both"/>
        <w:rPr>
          <w:lang w:val="nl-NL"/>
        </w:rPr>
      </w:pPr>
      <w:r>
        <w:rPr>
          <w:lang w:val="nl-NL"/>
        </w:rPr>
        <w:t>10.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35 triệu đồng/cơ sở.</w:t>
      </w:r>
    </w:p>
    <w:p>
      <w:pPr>
        <w:spacing w:before="120" w:after="120"/>
        <w:ind w:firstLine="720"/>
        <w:jc w:val="both"/>
        <w:rPr>
          <w:lang w:val="nl-NL"/>
        </w:rPr>
      </w:pPr>
      <w:r>
        <w:rPr>
          <w:lang w:val="nl-NL"/>
        </w:rPr>
        <w:t>11. Chi xây dựng các chương trình truyền hình, truyền thanh; xuất bản các bản tin ấn phẩm; tờ rơi, tờ gấp và các hình thức thông tin đại chúng khác. Mức chi thực hiện theo hình thức hợp đồng với cơ quan tuyên truyền và cơ quan thông tin đại chúng theo phương thức đấu thầu, trường hợp đặt hàng giao nhiệm vụ thực hiện theo đơn giá được cấp thẩm quyền phê duyệt.</w:t>
      </w:r>
    </w:p>
    <w:p>
      <w:pPr>
        <w:spacing w:before="120" w:after="120"/>
        <w:ind w:firstLine="720"/>
        <w:jc w:val="both"/>
        <w:rPr>
          <w:lang w:val="nl-NL"/>
        </w:rPr>
      </w:pPr>
      <w:r>
        <w:rPr>
          <w:lang w:val="nl-NL"/>
        </w:rPr>
        <w:t>12. Chi hỗ trợ thành lập các hội, hiệp hội ngành nghề công nghiệp, tiểu thủ công nghiệp cấp tỉnh. Mức hỗ trợ tối đa 30% chi phí thành lập, nhưng không quá 50 triệu đồng/hội, hiệp hội.</w:t>
      </w:r>
    </w:p>
    <w:p>
      <w:pPr>
        <w:spacing w:before="120" w:after="120"/>
        <w:ind w:firstLine="720"/>
        <w:jc w:val="both"/>
        <w:rPr>
          <w:lang w:val="nl-NL"/>
        </w:rPr>
      </w:pPr>
      <w:r>
        <w:rPr>
          <w:lang w:val="nl-NL"/>
        </w:rPr>
        <w:t>13. Chi hỗ trợ để hình thành cụm liên kết doanh nghiệp công nghiệp. Mức hỗ trợ tối đa 50% chi phí, nhưng không quá 150 triệu đồng/cụm liên kết.</w:t>
      </w:r>
    </w:p>
    <w:p>
      <w:pPr>
        <w:spacing w:before="120" w:after="120"/>
        <w:ind w:firstLine="720"/>
        <w:jc w:val="both"/>
        <w:rPr>
          <w:lang w:val="nl-NL"/>
        </w:rPr>
      </w:pPr>
      <w:r>
        <w:rPr>
          <w:lang w:val="nl-NL"/>
        </w:rPr>
        <w:t>14. Chi hỗ trợ sửa chữa hệ thống xử lý ô nhiễm môi trường tại cơ sở công nghiệp nông thôn. Mức hỗ trợ tối đa 30% chi phí, nhưng không quá 300 triệu đồng/cơ sở.</w:t>
      </w:r>
    </w:p>
    <w:p>
      <w:pPr>
        <w:spacing w:before="120" w:after="120"/>
        <w:ind w:firstLine="720"/>
        <w:jc w:val="both"/>
        <w:rPr>
          <w:lang w:val="nl-NL"/>
        </w:rPr>
      </w:pPr>
      <w:r>
        <w:rPr>
          <w:lang w:val="nl-NL"/>
        </w:rPr>
        <w:t>15. Chi hỗ trợ sửa chữa hệ thống xử lý ô nhiễm môi trường tại các cụm công nghiệp. Mức hỗ trợ theo dự án được phê duyệt, phù hợp với khả năng cân đối, bố trí ngân sách địa phương sau khi có ý kiến thống nhất của Sở Tài chính, nhưng tối đa không quá 700 triệu đồng/cụm.</w:t>
      </w:r>
    </w:p>
    <w:p>
      <w:pPr>
        <w:spacing w:before="120" w:after="120"/>
        <w:ind w:firstLine="720"/>
        <w:jc w:val="both"/>
        <w:rPr>
          <w:lang w:val="nl-NL"/>
        </w:rPr>
      </w:pPr>
      <w:r>
        <w:rPr>
          <w:lang w:val="nl-NL"/>
        </w:rPr>
        <w:t>16. Chi hỗ trợ lập quy hoạch chi tiết cụm công nghiệp. Mức hỗ trợ tối đa 50% chi phí, nhưng không quá 500 triệu đồng/cụm công nghiệp.</w:t>
      </w:r>
    </w:p>
    <w:p>
      <w:pPr>
        <w:spacing w:before="120" w:after="120"/>
        <w:ind w:firstLine="720"/>
        <w:jc w:val="both"/>
        <w:rPr>
          <w:lang w:val="nl-NL"/>
        </w:rPr>
      </w:pPr>
      <w:r>
        <w:rPr>
          <w:lang w:val="nl-NL"/>
        </w:rPr>
        <w:lastRenderedPageBreak/>
        <w:t>17. Chi hỗ trợ tổ chức đào tạo nâng cao tay nghề cho người lao động theo nhu cầu của các cơ sở công nghiệp nông thôn</w:t>
      </w:r>
    </w:p>
    <w:p>
      <w:pPr>
        <w:spacing w:before="120" w:after="120"/>
        <w:ind w:firstLine="720"/>
        <w:jc w:val="both"/>
        <w:rPr>
          <w:lang w:val="nl-NL"/>
        </w:rPr>
      </w:pPr>
      <w:r>
        <w:rPr>
          <w:lang w:val="nl-NL"/>
        </w:rPr>
        <w:t>Nội dung chi, định mức chi hỗ trợ đào tạo nghề, truyền nghề thực hiện theo quy định của Ủy ban nhân dân tỉnh Điện Biên về mức hỗ trợ chi phí đào tạo nghề cho từng nghề (các nghề chưa có quy định cụ thể thì áp dụng theo nhóm ngành, nghề tương tự).</w:t>
      </w:r>
    </w:p>
    <w:p>
      <w:pPr>
        <w:spacing w:before="120" w:after="120"/>
        <w:ind w:firstLine="720"/>
        <w:jc w:val="both"/>
        <w:rPr>
          <w:lang w:val="nl-NL"/>
        </w:rPr>
      </w:pPr>
      <w:r>
        <w:rPr>
          <w:lang w:val="nl-NL"/>
        </w:rPr>
        <w:t>18. Nâng cao năng lực quản lý và tổ chức thực hiện hoạt động khuyến công; Chỉ đạo phát triển công nghiệp, tiểu thủ công nghiệp và xây dựng làng nghề cấp tỉnh, cấp huyện, xã</w:t>
      </w:r>
    </w:p>
    <w:p>
      <w:pPr>
        <w:spacing w:before="120" w:after="120"/>
        <w:ind w:firstLine="720"/>
        <w:jc w:val="both"/>
        <w:rPr>
          <w:lang w:val="nl-NL"/>
        </w:rPr>
      </w:pPr>
      <w:r>
        <w:rPr>
          <w:lang w:val="nl-NL"/>
        </w:rPr>
        <w:t>Nội dung chi gồm: Xây dựng chương trình, tài liệu và tổ chức tập huấn, bồi dưỡng chuyên môn, nghiệp vụ cho cán bộ làm công tác khuyến công; Chi hội thảo chuyên đề, hội nghị đánh giá tổng kết về hoạt động khuyến công; Xây dựng, duy trì và phổ biến các cơ sở dữ liệu và trang thông tin điện tử về khuyến công, sản xuất sạch hơn; Nâng cấp cơ sở vật chất, phương tiện làm việc cho Trung tâm Khuyến công và Tư vấn phát triển công nghiệp; Chi thù lao cho cộng tác viên để duy trì mạng lưới cộng tác viên khuyến công; Xây dựng chương trình khuyến công từng giai đoạn và kế hoạch khuyến công hàng năm. Mức chi theo quy định hiện hành và theo đề án, dự án được cấp có thẩm quyền phê duyệt.</w:t>
      </w:r>
    </w:p>
    <w:p>
      <w:pPr>
        <w:spacing w:before="120" w:after="120"/>
        <w:ind w:firstLine="720"/>
        <w:jc w:val="both"/>
        <w:rPr>
          <w:lang w:val="nl-NL"/>
        </w:rPr>
      </w:pPr>
      <w:r>
        <w:rPr>
          <w:lang w:val="nl-NL"/>
        </w:rPr>
        <w:t>19. Chi thù lao cho cộng tác viên khuyến công. Mức chi tối đa không quá 1,0 lần mức lương cơ sở/người/tháng.</w:t>
      </w:r>
    </w:p>
    <w:p>
      <w:pPr>
        <w:spacing w:before="120" w:after="120"/>
        <w:ind w:firstLine="720"/>
        <w:jc w:val="both"/>
        <w:rPr>
          <w:lang w:val="nl-NL"/>
        </w:rPr>
      </w:pPr>
      <w:r>
        <w:rPr>
          <w:lang w:val="nl-NL"/>
        </w:rPr>
        <w:t>20. Chi hỗ trợ các phòng trưng bày để giới thiệu, quảng bá sản phẩm tại Trung tâm Khuyến công và Tư vấn phát triển công nghiệp và cơ sở công nghiệp nông thôn</w:t>
      </w:r>
    </w:p>
    <w:p>
      <w:pPr>
        <w:spacing w:before="120" w:after="120"/>
        <w:ind w:firstLine="720"/>
        <w:jc w:val="both"/>
        <w:rPr>
          <w:lang w:val="nl-NL"/>
        </w:rPr>
      </w:pPr>
      <w:r>
        <w:rPr>
          <w:lang w:val="nl-NL"/>
        </w:rPr>
        <w:t>a) Trung tâm Khuyến công và Tư vấn phát triển công nghiệp: Chi phí mua sắm ban đầu trang thiết bị, dụng cụ quản lý dùng để trưng bày. Mức hỗ trợ tối đa không quá 200 triệu đồng/phòng trưng bày.</w:t>
      </w:r>
    </w:p>
    <w:p>
      <w:pPr>
        <w:spacing w:before="120" w:after="120"/>
        <w:ind w:firstLine="720"/>
        <w:jc w:val="both"/>
        <w:rPr>
          <w:lang w:val="nl-NL"/>
        </w:rPr>
      </w:pPr>
      <w:r>
        <w:rPr>
          <w:lang w:val="nl-NL"/>
        </w:rPr>
        <w:t>b) Cơ sở công nghiệp nông thôn có sản phẩm công nghiệp nông thôn tiêu biểu cấp quốc gia: Chi phí mua sắm ban đầu trang thiết bị, dụng cụ quản lý dùng để trưng bày. Mức hỗ trợ tối đa không quá 70 triệu đồng/phòng trưng bày.</w:t>
      </w:r>
    </w:p>
    <w:p>
      <w:pPr>
        <w:spacing w:before="120" w:after="120"/>
        <w:ind w:firstLine="720"/>
        <w:jc w:val="both"/>
        <w:rPr>
          <w:lang w:val="nl-NL"/>
        </w:rPr>
      </w:pPr>
      <w:r>
        <w:rPr>
          <w:lang w:val="nl-NL"/>
        </w:rPr>
        <w:t>c) Cơ sở công nghiệp nông thôn có sản phẩm công nghiệp nông thôn tiêu biểu cấp khu vực: Chi phí mua sắm ban đầu trang thiết bị, dụng cụ quản lý dùng để trưng bày. Mức hỗ trợ tối đa không quá 50 triệu đồng/phòng trưng bày.</w:t>
      </w:r>
    </w:p>
    <w:p>
      <w:pPr>
        <w:spacing w:before="120" w:after="120"/>
        <w:ind w:firstLine="720"/>
        <w:jc w:val="both"/>
        <w:rPr>
          <w:lang w:val="nl-NL"/>
        </w:rPr>
      </w:pPr>
      <w:r>
        <w:rPr>
          <w:lang w:val="nl-NL"/>
        </w:rPr>
        <w:t>21. Chi quản lý chương trình đề án khuyến công</w:t>
      </w:r>
    </w:p>
    <w:p>
      <w:pPr>
        <w:spacing w:before="120" w:after="120"/>
        <w:ind w:firstLine="720"/>
        <w:jc w:val="both"/>
        <w:rPr>
          <w:lang w:val="nl-NL"/>
        </w:rPr>
      </w:pPr>
      <w:r>
        <w:rPr>
          <w:lang w:val="nl-NL"/>
        </w:rPr>
        <w:t>a) Chi cho cơ quan quản lý kinh phí khuyến công:</w:t>
      </w:r>
    </w:p>
    <w:p>
      <w:pPr>
        <w:spacing w:before="120" w:after="120"/>
        <w:ind w:firstLine="720"/>
        <w:jc w:val="both"/>
        <w:rPr>
          <w:lang w:val="nl-NL"/>
        </w:rPr>
      </w:pPr>
      <w:r>
        <w:rPr>
          <w:lang w:val="nl-NL"/>
        </w:rPr>
        <w:t>Hỗ trợ xây dựng các chương trình, đề án, kiểm tra, giám sát, nghiệm thu nội dung gồm: Làm thêm giờ; Văn phòng phẩm, điện thoại, bưu chính, điện nước; Chi công tác phí, xăng dầu, thuê xe đi kiểm tra; Chi thẩm định xét chọn, nghiệm thu chương trình, đề án khuyến công; Chi khác (nếu có). Mức chi: Tối đa 1,5% kinh phí khuyến công do Ủy ban nhân dân tỉnh giao hàng năm.</w:t>
      </w:r>
    </w:p>
    <w:p>
      <w:pPr>
        <w:spacing w:before="120" w:after="120"/>
        <w:ind w:firstLine="720"/>
        <w:jc w:val="both"/>
        <w:rPr>
          <w:lang w:val="nl-NL"/>
        </w:rPr>
      </w:pPr>
      <w:r>
        <w:rPr>
          <w:lang w:val="nl-NL"/>
        </w:rPr>
        <w:lastRenderedPageBreak/>
        <w:t>b) Chi cho tổ chức thực hiện hoạt động dịch vụ khuyến công:</w:t>
      </w:r>
    </w:p>
    <w:p>
      <w:pPr>
        <w:spacing w:before="120" w:after="120"/>
        <w:jc w:val="both"/>
        <w:rPr>
          <w:lang w:val="nl-NL"/>
        </w:rPr>
      </w:pPr>
      <w:r>
        <w:rPr>
          <w:lang w:val="nl-NL"/>
        </w:rPr>
        <w:t>Chi công tác triển khai thực hiện kế hoạch, đề án bao gồm: Công tác quản lý, chỉ đạo, kiểm tra, giám sát, chi khác (nếu có). Mức chi: Tối đa 4% dự toán đề án khuyến công được duyệt.</w:t>
      </w:r>
    </w:p>
    <w:p>
      <w:pPr>
        <w:spacing w:before="120" w:after="120"/>
        <w:ind w:firstLine="720"/>
        <w:jc w:val="both"/>
      </w:pPr>
      <w:r>
        <w:rPr>
          <w:lang w:val="nl-NL"/>
        </w:rPr>
        <w:t>22. Các nội dung và mức chi khác không có trong Quy chế này thì thực hiện theo quy định của pháp luật hiện hành.</w:t>
      </w:r>
    </w:p>
    <w:p>
      <w:pPr>
        <w:spacing w:before="120" w:after="280" w:afterAutospacing="1"/>
      </w:pPr>
      <w:r>
        <w:t xml:space="preserve"> </w:t>
      </w:r>
    </w:p>
    <w:p>
      <w:pPr>
        <w:rPr>
          <w:lang w:val="nl-NL"/>
        </w:rPr>
      </w:pPr>
    </w:p>
    <w:sectPr>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ind w:firstLine="454"/>
        <w:jc w:val="both"/>
        <w:rPr>
          <w:bCs/>
          <w:sz w:val="22"/>
          <w:szCs w:val="22"/>
          <w:lang w:val="nl-NL"/>
        </w:rPr>
      </w:pPr>
      <w:r>
        <w:rPr>
          <w:rStyle w:val="FootnoteReference"/>
        </w:rPr>
        <w:footnoteRef/>
      </w:r>
      <w:r>
        <w:t xml:space="preserve"> </w:t>
      </w:r>
      <w:r>
        <w:rPr>
          <w:rStyle w:val="BodyTextChar"/>
          <w:bCs/>
          <w:sz w:val="22"/>
          <w:szCs w:val="22"/>
          <w:lang w:val="nb-NO"/>
        </w:rPr>
        <w:t xml:space="preserve">- Hội đồng nhân dân tỉnh Điện Biên đã ban hành Nghị quyết số 389/2015/NQ-HĐND ngày 10/11/2015 Quy định </w:t>
      </w:r>
      <w:r>
        <w:rPr>
          <w:bCs/>
          <w:sz w:val="22"/>
          <w:szCs w:val="22"/>
          <w:lang w:val="nl-NL"/>
        </w:rPr>
        <w:t>chính sách khuyến công trên địa bàn tỉnh Điện Biên; Ủy ban nhân dân tỉnh đã ban hành Quyết định số 27/2015/QĐ-UBND ngày 03/12/2015 quy định chính sách khuyến công trên địa bàn tỉnh Điện Biên.</w:t>
      </w:r>
    </w:p>
    <w:p>
      <w:pPr>
        <w:ind w:firstLine="720"/>
        <w:jc w:val="both"/>
        <w:rPr>
          <w:bCs/>
          <w:sz w:val="22"/>
          <w:szCs w:val="22"/>
          <w:lang w:val="nl-NL"/>
        </w:rPr>
      </w:pPr>
      <w:r>
        <w:rPr>
          <w:bCs/>
          <w:sz w:val="22"/>
          <w:szCs w:val="22"/>
          <w:lang w:val="nl-NL"/>
        </w:rPr>
        <w:t>- UBND tỉnh Điện Biên đã ban hành Quyết định số 314/QĐ-UBND ngày 21/4/2015 phê duyệt Chương trình Khuyến công tỉnh Điện Biên giai đoạn đến năm 2020 và Quyết định số 375/QĐ-UBND ngày 23 tháng 3 năm 2021 về việc phê duyệt chương trình Khuyến công tỉnh Điện Biên giai đoạn 2021-2025.</w:t>
      </w:r>
    </w:p>
    <w:p>
      <w:pPr>
        <w:ind w:firstLine="720"/>
        <w:jc w:val="both"/>
        <w:rPr>
          <w:bCs/>
          <w:sz w:val="22"/>
          <w:szCs w:val="22"/>
          <w:lang w:val="nl-NL"/>
        </w:rPr>
      </w:pPr>
      <w:r>
        <w:rPr>
          <w:bCs/>
          <w:sz w:val="22"/>
          <w:szCs w:val="22"/>
          <w:lang w:val="nl-NL"/>
        </w:rPr>
        <w:t xml:space="preserve">- Hội đồng nhân dân tỉnh Điện Biên đã ban hành Nghị quyết số 04/2022/NQ-HĐND bãi bỏ Nghị quyết số 389/2015/NQ-HĐND </w:t>
      </w:r>
      <w:r>
        <w:rPr>
          <w:rStyle w:val="BodyTextChar"/>
          <w:bCs/>
          <w:sz w:val="22"/>
          <w:szCs w:val="22"/>
          <w:lang w:val="nb-NO"/>
        </w:rPr>
        <w:t xml:space="preserve">ngày 10/11/2015 Quy định </w:t>
      </w:r>
      <w:r>
        <w:rPr>
          <w:bCs/>
          <w:sz w:val="22"/>
          <w:szCs w:val="22"/>
          <w:lang w:val="nl-NL"/>
        </w:rPr>
        <w:t>chính sách khuyến công trên địa bàn tỉnh Điện Biên; Ủy ban nhân dân tỉnh Điện Biên ban hành Quyết định số 24/2022/QĐ-UBND ngày 19 tháng 7 năm 2022  Ban hành quy chế quản lý kinh phí khuyến công và mức chi cụ thể cho hoạt động khuyến công địa phương tỉnh Điện Biên thay thế Quyết định số 27/2015/QĐ-UBND ngày 03/12/2015 quy định chính sách khuyến công trên địa bàn tỉnh Điện Biên.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253775"/>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D2601C"/>
    <w:multiLevelType w:val="hybridMultilevel"/>
    <w:tmpl w:val="31F619CA"/>
    <w:lvl w:ilvl="0" w:tplc="193EBC38">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6C6D5215"/>
    <w:multiLevelType w:val="hybridMultilevel"/>
    <w:tmpl w:val="9578C5A4"/>
    <w:lvl w:ilvl="0" w:tplc="DC82F5B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3560B9B"/>
    <w:multiLevelType w:val="hybridMultilevel"/>
    <w:tmpl w:val="28C0A8F6"/>
    <w:lvl w:ilvl="0" w:tplc="05E44164">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6B24C4D"/>
    <w:multiLevelType w:val="hybridMultilevel"/>
    <w:tmpl w:val="3E42C83C"/>
    <w:lvl w:ilvl="0" w:tplc="67268F62">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character" w:customStyle="1" w:styleId="BodyTextIndent2Char">
    <w:name w:val="Body Text Indent 2 Char"/>
    <w:basedOn w:val="DefaultParagraphFont"/>
    <w:link w:val="BodyTextIndent2"/>
    <w:semiHidden/>
    <w:locked/>
    <w:rPr>
      <w:rFonts w:ascii=".VnTime" w:hAnsi=".VnTime"/>
      <w:sz w:val="28"/>
      <w:lang w:val="en-US" w:eastAsia="en-US" w:bidi="ar-SA"/>
    </w:rPr>
  </w:style>
  <w:style w:type="paragraph" w:styleId="BodyTextIndent2">
    <w:name w:val="Body Text Indent 2"/>
    <w:basedOn w:val="Normal"/>
    <w:link w:val="BodyTextIndent2Char"/>
    <w:semiHidden/>
    <w:pPr>
      <w:spacing w:before="60" w:line="288" w:lineRule="auto"/>
      <w:ind w:firstLine="720"/>
      <w:jc w:val="both"/>
    </w:pPr>
    <w:rPr>
      <w:rFonts w:ascii=".VnTime" w:hAnsi=".VnTime"/>
      <w:szCs w:val="20"/>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8"/>
      <w:szCs w:val="28"/>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uiPriority w:val="99"/>
    <w:semiHidden/>
    <w:unhideWhenUsed/>
    <w:rPr>
      <w:rFonts w:ascii="Times New Roman" w:eastAsia="Times New Roman" w:hAnsi="Times New Roman" w:cs="Times New Roman"/>
      <w:vertAlign w:val="superscript"/>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8"/>
      <w:szCs w:val="28"/>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sz w:val="28"/>
      <w:szCs w:val="28"/>
    </w:rPr>
  </w:style>
  <w:style w:type="paragraph" w:styleId="NormalWeb">
    <w:name w:val="Normal (Web)"/>
    <w:basedOn w:val="Normal"/>
    <w:uiPriority w:val="99"/>
    <w:unhideWhenUse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hAnsi="Arial" w:cs="Arial"/>
      <w:sz w:val="26"/>
      <w:szCs w:val="26"/>
    </w:rPr>
  </w:style>
  <w:style w:type="character" w:customStyle="1" w:styleId="BodyTextIndent2Char">
    <w:name w:val="Body Text Indent 2 Char"/>
    <w:basedOn w:val="DefaultParagraphFont"/>
    <w:link w:val="BodyTextIndent2"/>
    <w:semiHidden/>
    <w:locked/>
    <w:rPr>
      <w:rFonts w:ascii=".VnTime" w:hAnsi=".VnTime"/>
      <w:sz w:val="28"/>
      <w:lang w:val="en-US" w:eastAsia="en-US" w:bidi="ar-SA"/>
    </w:rPr>
  </w:style>
  <w:style w:type="paragraph" w:styleId="BodyTextIndent2">
    <w:name w:val="Body Text Indent 2"/>
    <w:basedOn w:val="Normal"/>
    <w:link w:val="BodyTextIndent2Char"/>
    <w:semiHidden/>
    <w:pPr>
      <w:spacing w:before="60" w:line="288" w:lineRule="auto"/>
      <w:ind w:firstLine="720"/>
      <w:jc w:val="both"/>
    </w:pPr>
    <w:rPr>
      <w:rFonts w:ascii=".VnTime" w:hAnsi=".VnTime"/>
      <w:szCs w:val="20"/>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8"/>
      <w:szCs w:val="28"/>
    </w:rPr>
  </w:style>
  <w:style w:type="character" w:customStyle="1" w:styleId="fontstyle01">
    <w:name w:val="fontstyle01"/>
    <w:basedOn w:val="DefaultParagraphFont"/>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uiPriority w:val="99"/>
    <w:semiHidden/>
    <w:unhideWhenUsed/>
    <w:rPr>
      <w:rFonts w:ascii="Times New Roman" w:eastAsia="Times New Roman" w:hAnsi="Times New Roman" w:cs="Times New Roman"/>
      <w:vertAlign w:val="superscript"/>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8"/>
      <w:szCs w:val="28"/>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sz w:val="28"/>
      <w:szCs w:val="28"/>
    </w:rPr>
  </w:style>
  <w:style w:type="paragraph" w:styleId="NormalWeb">
    <w:name w:val="Normal (Web)"/>
    <w:basedOn w:val="Normal"/>
    <w:uiPriority w:val="99"/>
    <w:unhideWhenUs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62860">
      <w:bodyDiv w:val="1"/>
      <w:marLeft w:val="0"/>
      <w:marRight w:val="0"/>
      <w:marTop w:val="0"/>
      <w:marBottom w:val="0"/>
      <w:divBdr>
        <w:top w:val="none" w:sz="0" w:space="0" w:color="auto"/>
        <w:left w:val="none" w:sz="0" w:space="0" w:color="auto"/>
        <w:bottom w:val="none" w:sz="0" w:space="0" w:color="auto"/>
        <w:right w:val="none" w:sz="0" w:space="0" w:color="auto"/>
      </w:divBdr>
    </w:div>
    <w:div w:id="420029727">
      <w:bodyDiv w:val="1"/>
      <w:marLeft w:val="0"/>
      <w:marRight w:val="0"/>
      <w:marTop w:val="0"/>
      <w:marBottom w:val="0"/>
      <w:divBdr>
        <w:top w:val="none" w:sz="0" w:space="0" w:color="auto"/>
        <w:left w:val="none" w:sz="0" w:space="0" w:color="auto"/>
        <w:bottom w:val="none" w:sz="0" w:space="0" w:color="auto"/>
        <w:right w:val="none" w:sz="0" w:space="0" w:color="auto"/>
      </w:divBdr>
    </w:div>
    <w:div w:id="164403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BFCD2-5AA7-41EC-B43D-ED062BEB6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2945</Words>
  <Characters>16792</Characters>
  <Application>Microsoft Office Word</Application>
  <DocSecurity>0</DocSecurity>
  <Lines>139</Lines>
  <Paragraphs>39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TỈNH ĐIỆN BIÊN</vt:lpstr>
      <vt:lpstr>UBND TỈNH ĐIỆN BIÊN</vt:lpstr>
    </vt:vector>
  </TitlesOfParts>
  <Company>HOME</Company>
  <LinksUpToDate>false</LinksUpToDate>
  <CharactersWithSpaces>19698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ĐIỆN BIÊN</dc:title>
  <dc:creator>User</dc:creator>
  <cp:lastModifiedBy>HT</cp:lastModifiedBy>
  <cp:revision>14</cp:revision>
  <cp:lastPrinted>2012-02-23T08:13:00Z</cp:lastPrinted>
  <dcterms:created xsi:type="dcterms:W3CDTF">2025-04-17T08:55:00Z</dcterms:created>
  <dcterms:modified xsi:type="dcterms:W3CDTF">2025-04-18T01:32:00Z</dcterms:modified>
</cp:coreProperties>
</file>