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FB" w:rsidRDefault="00511DFB" w:rsidP="00511DFB">
      <w:pPr>
        <w:overflowPunct w:val="0"/>
        <w:autoSpaceDE w:val="0"/>
        <w:autoSpaceDN w:val="0"/>
        <w:adjustRightInd w:val="0"/>
        <w:spacing w:before="80" w:after="80"/>
        <w:jc w:val="both"/>
        <w:textAlignment w:val="baseline"/>
        <w:rPr>
          <w:b/>
          <w:sz w:val="26"/>
          <w:szCs w:val="26"/>
          <w:lang w:val="da-DK"/>
        </w:rPr>
      </w:pPr>
      <w:r>
        <w:rPr>
          <w:b/>
          <w:sz w:val="26"/>
          <w:szCs w:val="26"/>
          <w:lang w:val="da-DK"/>
        </w:rPr>
        <w:t xml:space="preserve">66. Cấp điều chỉnh Giấy phép sử dụng Vật liệu nổ công nghiệp </w:t>
      </w:r>
    </w:p>
    <w:tbl>
      <w:tblPr>
        <w:tblW w:w="0" w:type="auto"/>
        <w:tblLook w:val="04A0"/>
      </w:tblPr>
      <w:tblGrid>
        <w:gridCol w:w="2659"/>
        <w:gridCol w:w="6516"/>
      </w:tblGrid>
      <w:tr w:rsidR="00511DFB" w:rsidTr="00511DFB">
        <w:tc>
          <w:tcPr>
            <w:tcW w:w="2659" w:type="dxa"/>
            <w:hideMark/>
          </w:tcPr>
          <w:p w:rsidR="00511DFB" w:rsidRDefault="00511DFB">
            <w:pPr>
              <w:spacing w:before="80"/>
              <w:rPr>
                <w:sz w:val="26"/>
                <w:szCs w:val="26"/>
              </w:rPr>
            </w:pPr>
            <w:r>
              <w:rPr>
                <w:sz w:val="26"/>
                <w:szCs w:val="26"/>
              </w:rPr>
              <w:t>- Trình tự thực hiện:</w:t>
            </w:r>
          </w:p>
        </w:tc>
        <w:tc>
          <w:tcPr>
            <w:tcW w:w="6516" w:type="dxa"/>
            <w:hideMark/>
          </w:tcPr>
          <w:p w:rsidR="00511DFB" w:rsidRDefault="00511DFB">
            <w:pPr>
              <w:spacing w:before="120" w:line="264" w:lineRule="auto"/>
              <w:jc w:val="both"/>
              <w:rPr>
                <w:sz w:val="26"/>
                <w:szCs w:val="26"/>
              </w:rPr>
            </w:pPr>
            <w:r>
              <w:rPr>
                <w:sz w:val="26"/>
                <w:szCs w:val="26"/>
              </w:rPr>
              <w:t xml:space="preserve">- Doanh nghiệp nộp hồ sơ trực tiếp hoặc gửi qua đường bưu điện đến </w:t>
            </w:r>
            <w:r>
              <w:rPr>
                <w:sz w:val="26"/>
                <w:szCs w:val="26"/>
                <w:lang w:val="it-IT"/>
              </w:rPr>
              <w:t>Bộ phận tiếp nhận và trả kết quả Văn phòng Sở Công Thương tỉnh Điện Biên</w:t>
            </w:r>
            <w:r>
              <w:rPr>
                <w:sz w:val="26"/>
                <w:szCs w:val="26"/>
              </w:rPr>
              <w:t>;</w:t>
            </w:r>
          </w:p>
          <w:p w:rsidR="00511DFB" w:rsidRDefault="00511DFB">
            <w:pPr>
              <w:spacing w:before="120" w:line="264" w:lineRule="auto"/>
              <w:jc w:val="both"/>
              <w:rPr>
                <w:sz w:val="26"/>
                <w:szCs w:val="26"/>
              </w:rPr>
            </w:pPr>
            <w:r>
              <w:rPr>
                <w:sz w:val="26"/>
                <w:szCs w:val="26"/>
              </w:rPr>
              <w:t>- Sở Công Thương kiểm tra tính hợp lệ, đầy đủ của hồ sơ. Trường hợp hồ sơ không đầy đủ, hợp lệ, trong vòng 03 ngày làm việc, Sở Công Thương thông báo bằng văn bản cho doanh nghiệp để hoàn chỉnh hồ sơ;</w:t>
            </w:r>
          </w:p>
          <w:p w:rsidR="00511DFB" w:rsidRDefault="00511DFB">
            <w:pPr>
              <w:spacing w:before="120" w:line="264" w:lineRule="auto"/>
              <w:jc w:val="both"/>
              <w:rPr>
                <w:sz w:val="26"/>
                <w:szCs w:val="26"/>
              </w:rPr>
            </w:pPr>
            <w:r>
              <w:rPr>
                <w:sz w:val="26"/>
                <w:szCs w:val="26"/>
              </w:rPr>
              <w:t>- Trường hợp hồ sơ đầy đủ, hợp lệ, Sở Công Thương thẩm định nội dung hồ sơ, trường hợp cần thiết, thẩm tra thực tế. Nếu hồ sơ đáp ứng đủ điều kiện, trong thời hạn 05 ngày làm việc, Sở Công Thương cấp Giấy phép cho doanh nghiệp. Nếu hồ sơ không đáp ứng đủ điều kiện, Sở Công Thương trả lời bằng văn bản cho doanh nghiệp, nêu rõ lý do không cấp phép;</w:t>
            </w:r>
          </w:p>
          <w:p w:rsidR="00511DFB" w:rsidRDefault="00511DFB">
            <w:pPr>
              <w:pStyle w:val="NormalWeb"/>
              <w:tabs>
                <w:tab w:val="left" w:pos="-120"/>
              </w:tabs>
              <w:spacing w:before="12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 Doanh nghiệp nhận Giấy phép trực tiếp tại Sở Công Thương.</w:t>
            </w:r>
          </w:p>
        </w:tc>
      </w:tr>
      <w:tr w:rsidR="00511DFB" w:rsidTr="00511DFB">
        <w:tc>
          <w:tcPr>
            <w:tcW w:w="2659" w:type="dxa"/>
            <w:hideMark/>
          </w:tcPr>
          <w:p w:rsidR="00511DFB" w:rsidRDefault="00511DFB">
            <w:pPr>
              <w:spacing w:before="80"/>
              <w:rPr>
                <w:sz w:val="26"/>
                <w:szCs w:val="26"/>
              </w:rPr>
            </w:pPr>
            <w:r>
              <w:rPr>
                <w:sz w:val="26"/>
                <w:szCs w:val="26"/>
              </w:rPr>
              <w:t>- Cách thức thực hiện:</w:t>
            </w:r>
          </w:p>
        </w:tc>
        <w:tc>
          <w:tcPr>
            <w:tcW w:w="6516" w:type="dxa"/>
            <w:hideMark/>
          </w:tcPr>
          <w:p w:rsidR="00511DFB" w:rsidRDefault="00511DFB">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511DFB" w:rsidTr="00511DFB">
        <w:tc>
          <w:tcPr>
            <w:tcW w:w="2659" w:type="dxa"/>
            <w:hideMark/>
          </w:tcPr>
          <w:p w:rsidR="00511DFB" w:rsidRDefault="00511DFB">
            <w:pPr>
              <w:spacing w:before="80"/>
              <w:rPr>
                <w:sz w:val="26"/>
                <w:szCs w:val="26"/>
              </w:rPr>
            </w:pPr>
            <w:r>
              <w:rPr>
                <w:sz w:val="26"/>
                <w:szCs w:val="26"/>
              </w:rPr>
              <w:t>- Thành phần hồ sơ:</w:t>
            </w:r>
          </w:p>
        </w:tc>
        <w:tc>
          <w:tcPr>
            <w:tcW w:w="6516" w:type="dxa"/>
            <w:hideMark/>
          </w:tcPr>
          <w:p w:rsidR="00511DFB" w:rsidRDefault="00511DFB">
            <w:pPr>
              <w:spacing w:before="120" w:after="120"/>
              <w:jc w:val="both"/>
              <w:rPr>
                <w:sz w:val="26"/>
                <w:szCs w:val="26"/>
              </w:rPr>
            </w:pPr>
            <w:r>
              <w:rPr>
                <w:sz w:val="26"/>
                <w:szCs w:val="26"/>
                <w:lang w:val="nl-NL"/>
              </w:rPr>
              <w:t xml:space="preserve">- Đơn đề nghị cấp Giấy phép sử dụng VLNCN do lãnh đạo ký </w:t>
            </w:r>
            <w:r>
              <w:rPr>
                <w:i/>
                <w:iCs/>
                <w:sz w:val="26"/>
                <w:szCs w:val="26"/>
                <w:lang w:val="nl-NL"/>
              </w:rPr>
              <w:t xml:space="preserve">(theo Mẫu 1a </w:t>
            </w:r>
            <w:r>
              <w:rPr>
                <w:i/>
                <w:iCs/>
                <w:sz w:val="26"/>
                <w:szCs w:val="26"/>
              </w:rPr>
              <w:t>Thông tư 26/2012/TT-BCT</w:t>
            </w:r>
            <w:r>
              <w:rPr>
                <w:i/>
                <w:iCs/>
                <w:sz w:val="26"/>
                <w:szCs w:val="26"/>
                <w:lang w:val="nl-NL"/>
              </w:rPr>
              <w:t>);</w:t>
            </w:r>
          </w:p>
          <w:p w:rsidR="00511DFB" w:rsidRDefault="00511DFB">
            <w:pPr>
              <w:spacing w:before="120" w:after="120"/>
              <w:jc w:val="both"/>
              <w:rPr>
                <w:sz w:val="26"/>
                <w:szCs w:val="26"/>
                <w:lang w:val="nl-NL"/>
              </w:rPr>
            </w:pPr>
            <w:r>
              <w:rPr>
                <w:sz w:val="26"/>
                <w:szCs w:val="26"/>
                <w:lang w:val="nl-NL"/>
              </w:rPr>
              <w:t>- Báo cáo sử dụng VLNCN trong thời hạn hiệu lực của giấy phép đã cấp lần trước;</w:t>
            </w:r>
          </w:p>
          <w:p w:rsidR="00511DFB" w:rsidRDefault="00511DFB">
            <w:pPr>
              <w:spacing w:before="120" w:after="120"/>
              <w:jc w:val="both"/>
              <w:rPr>
                <w:sz w:val="26"/>
                <w:szCs w:val="26"/>
                <w:lang w:val="nl-NL"/>
              </w:rPr>
            </w:pPr>
            <w:r>
              <w:rPr>
                <w:sz w:val="26"/>
                <w:szCs w:val="26"/>
                <w:lang w:val="nl-NL"/>
              </w:rPr>
              <w:t>- Bản chụp kèm bản chính để đối chiếu Quyết định thành lập, Giấy chứng nhận đăng ký kinh doanh. Đối với doanh nghiệp có vốn đầu tư nước ngoài, phải có Giấy chứng nhận đầu tư hoặc Giấy phép thầu do cơ quan có thẩm quyền cấp theo quy định pháp luật (nếu có thay đổi);</w:t>
            </w:r>
          </w:p>
          <w:p w:rsidR="00511DFB" w:rsidRDefault="00511DFB">
            <w:pPr>
              <w:spacing w:before="120" w:after="120"/>
              <w:jc w:val="both"/>
              <w:rPr>
                <w:sz w:val="26"/>
                <w:szCs w:val="26"/>
                <w:lang w:val="nl-NL"/>
              </w:rPr>
            </w:pPr>
            <w:r>
              <w:rPr>
                <w:sz w:val="26"/>
                <w:szCs w:val="26"/>
                <w:lang w:val="nl-NL"/>
              </w:rPr>
              <w:t>- Bản chụp kèm bản chính để đối chiếu Giấy chứng nhận đủ điều kiện về an ninh trật tựđể làm ngành, nghề kinh doanh có điều kiện (nếu có thay đổi);</w:t>
            </w:r>
          </w:p>
          <w:p w:rsidR="00511DFB" w:rsidRDefault="00511DFB">
            <w:pPr>
              <w:spacing w:before="120" w:after="120"/>
              <w:jc w:val="both"/>
              <w:rPr>
                <w:sz w:val="26"/>
                <w:szCs w:val="26"/>
                <w:lang w:val="nl-NL"/>
              </w:rPr>
            </w:pPr>
            <w:r>
              <w:rPr>
                <w:sz w:val="26"/>
                <w:szCs w:val="26"/>
                <w:lang w:val="nl-NL"/>
              </w:rPr>
              <w:t>- Bản chụp kèm bản chính để đối chiếu Giấy phép thăm dò, khai thác khoáng sản đối với các doanh nghiệp hoạt động khoáng sản; Giấy phép thăm dò, khai thác dầu khí đối với các doanh nghiệp hoạt động dầu khí; Quyết định trúng thầu thi công công trình hoặc Hợp đồng nhận thầu hoặc văn bản uỷ quyền, giao nhiệm vụ thực hiện hợp đồng thi công công trình của tổ chức quản lý doanh nghiệp (nếu có thay đổi);</w:t>
            </w:r>
          </w:p>
          <w:p w:rsidR="00511DFB" w:rsidRDefault="00511DFB">
            <w:pPr>
              <w:spacing w:before="120" w:after="120"/>
              <w:jc w:val="both"/>
              <w:rPr>
                <w:sz w:val="26"/>
                <w:szCs w:val="26"/>
                <w:lang w:val="nl-NL"/>
              </w:rPr>
            </w:pPr>
            <w:r>
              <w:rPr>
                <w:sz w:val="26"/>
                <w:szCs w:val="26"/>
                <w:lang w:val="nl-NL"/>
              </w:rPr>
              <w:t xml:space="preserve">- Thiết kế thi công các hạng mục công trình xây dựng, thiết </w:t>
            </w:r>
            <w:r>
              <w:rPr>
                <w:sz w:val="26"/>
                <w:szCs w:val="26"/>
                <w:lang w:val="nl-NL"/>
              </w:rPr>
              <w:lastRenderedPageBreak/>
              <w:t>kế khai thác mỏ có sử dụng VLNCN đối với các công trình quy mô công nghiệp; phương án thi công, khai thác đối với các hoạt động xây dựng, khai thác thủ công, rà phá bom mìn, vật nổ. Thiết kế hoặc phương án do chủ đầu tư phê duyệt phải thỏa mãn các yêu cầu an toàn theo QCVN 04:2009/BCT hoặc QCVN 05:2012/BLĐTBXH hoặc QCVN 01:2011/BCT hoặc QCVN 18:2014/BXD và các tiêu chuẩn, quy chuẩn xây dựng liên quan (nếu có thay đổi);</w:t>
            </w:r>
          </w:p>
          <w:p w:rsidR="00511DFB" w:rsidRDefault="00511DFB">
            <w:pPr>
              <w:spacing w:before="120" w:after="120"/>
              <w:jc w:val="both"/>
              <w:rPr>
                <w:sz w:val="26"/>
                <w:szCs w:val="26"/>
                <w:lang w:val="nl-NL"/>
              </w:rPr>
            </w:pPr>
            <w:r>
              <w:rPr>
                <w:sz w:val="26"/>
                <w:szCs w:val="26"/>
                <w:lang w:val="nl-NL"/>
              </w:rPr>
              <w:t xml:space="preserve">- Phương án nổ mìn </w:t>
            </w:r>
            <w:r>
              <w:rPr>
                <w:i/>
                <w:iCs/>
                <w:sz w:val="26"/>
                <w:szCs w:val="26"/>
                <w:lang w:val="nl-NL"/>
              </w:rPr>
              <w:t>(theo mẫu quy định tại Phụ lục 5 Thông tư 23/2009/TT-BCT).</w:t>
            </w:r>
            <w:r>
              <w:rPr>
                <w:sz w:val="26"/>
                <w:szCs w:val="26"/>
                <w:lang w:val="nl-NL"/>
              </w:rPr>
              <w:t xml:space="preserve"> Phương án nổ mìn phải được lãnh đạo doanh nghiệp ký duyệt hoặc cơ quan có thẩm quyền phê duyệt, cho phép theo quy định (nếu có thay đổi).</w:t>
            </w:r>
          </w:p>
          <w:p w:rsidR="00511DFB" w:rsidRDefault="00511DFB">
            <w:pPr>
              <w:spacing w:before="120" w:after="120"/>
              <w:jc w:val="both"/>
              <w:rPr>
                <w:sz w:val="26"/>
                <w:szCs w:val="26"/>
                <w:lang w:val="nl-NL"/>
              </w:rPr>
            </w:pPr>
            <w:r>
              <w:rPr>
                <w:sz w:val="26"/>
                <w:szCs w:val="26"/>
                <w:lang w:val="nl-NL"/>
              </w:rPr>
              <w:t xml:space="preserve">Trường hợp sử dụng phương pháp kích nổ điện, đơn vị nộp Giấy chứng nhận kiểm định kỹ thuật an toàn thiết bị máy nổ mìn điện </w:t>
            </w:r>
            <w:r>
              <w:rPr>
                <w:i/>
                <w:iCs/>
                <w:sz w:val="26"/>
                <w:szCs w:val="26"/>
                <w:lang w:val="nl-NL"/>
              </w:rPr>
              <w:t>(Bản chụp kèm bản chính để đối chiếu);</w:t>
            </w:r>
          </w:p>
          <w:p w:rsidR="00511DFB" w:rsidRDefault="00511DFB">
            <w:pPr>
              <w:spacing w:before="120" w:after="120"/>
              <w:jc w:val="both"/>
              <w:rPr>
                <w:sz w:val="26"/>
                <w:szCs w:val="26"/>
                <w:lang w:val="nl-NL"/>
              </w:rPr>
            </w:pPr>
            <w:r>
              <w:rPr>
                <w:sz w:val="26"/>
                <w:szCs w:val="26"/>
                <w:lang w:val="nl-NL"/>
              </w:rPr>
              <w:t xml:space="preserve">- Phương án giám sát ảnh hưởng nổ mìn thỏa mãn các yêu cầu của QCVN 02:2008/BCT </w:t>
            </w:r>
            <w:r>
              <w:rPr>
                <w:i/>
                <w:iCs/>
                <w:sz w:val="26"/>
                <w:szCs w:val="26"/>
                <w:lang w:val="nl-NL"/>
              </w:rPr>
              <w:t>(nếu có);</w:t>
            </w:r>
            <w:r>
              <w:rPr>
                <w:sz w:val="26"/>
                <w:szCs w:val="26"/>
                <w:lang w:val="nl-NL"/>
              </w:rPr>
              <w:t xml:space="preserve"> kế hoạch hoặc biện pháp phòng ngừa, ứng phó sự cố khẩn cấp đối với kho, phương tiện vận chuyển VLNCN (nếu có thay đổi);</w:t>
            </w:r>
          </w:p>
          <w:p w:rsidR="00511DFB" w:rsidRDefault="00511DFB">
            <w:pPr>
              <w:spacing w:before="120" w:after="120"/>
              <w:jc w:val="both"/>
              <w:rPr>
                <w:sz w:val="26"/>
                <w:szCs w:val="26"/>
                <w:lang w:val="nl-NL"/>
              </w:rPr>
            </w:pPr>
            <w:r>
              <w:rPr>
                <w:sz w:val="26"/>
                <w:szCs w:val="26"/>
                <w:lang w:val="nl-NL"/>
              </w:rPr>
              <w:t>- Bản chụp kèm bản chính để đối chiếu các giấy tờ kèm theo Thông báo về việc đảm bảo các điều kiện an toàn về phòng cháy và chữa cháyđối với kho VLNCN; Biên bản kiểm tra các điều kiện về an toàn PCCC</w:t>
            </w:r>
            <w:r>
              <w:rPr>
                <w:i/>
                <w:iCs/>
                <w:sz w:val="26"/>
                <w:szCs w:val="26"/>
                <w:lang w:val="nl-NL"/>
              </w:rPr>
              <w:t xml:space="preserve"> (nếu có) </w:t>
            </w:r>
            <w:r>
              <w:rPr>
                <w:sz w:val="26"/>
                <w:szCs w:val="26"/>
                <w:lang w:val="nl-NL"/>
              </w:rPr>
              <w:t>và kèm theo hồ sơ kho bảo quản thoả mãn các quy định tại QCVN 02:2008/BCT (nếu có thay đổi).</w:t>
            </w:r>
          </w:p>
          <w:p w:rsidR="00511DFB" w:rsidRDefault="00511DFB">
            <w:pPr>
              <w:spacing w:before="120" w:after="120"/>
              <w:jc w:val="both"/>
              <w:rPr>
                <w:sz w:val="26"/>
                <w:szCs w:val="26"/>
                <w:lang w:val="nl-NL"/>
              </w:rPr>
            </w:pPr>
            <w:r>
              <w:rPr>
                <w:sz w:val="26"/>
                <w:szCs w:val="26"/>
                <w:lang w:val="nl-NL"/>
              </w:rPr>
              <w:t>Trường hợp tổ chức đề nghị cấp phép sử dụng VLNCN không có kho hoặc không có phương tiện vận chuyển, hồ sơ đề nghị cấp phép phải có bản sao công chứng hợp đồng nguyên tắc thuê kho, phương tiện vận chuyển VLNCN với tổ chức có kho, phương tiện VLNCN thoả mãn các yêu cầu nêu trên hoặc bản sao công chứng hợp đồng nguyên tắc với tổ chức được phép kinh doanh VLNCN để cung ứng VLNCN đến công trình theo hộ chiếu nổ mìn;</w:t>
            </w:r>
          </w:p>
          <w:p w:rsidR="00511DFB" w:rsidRDefault="00511DFB">
            <w:pPr>
              <w:spacing w:line="360" w:lineRule="atLeast"/>
              <w:jc w:val="both"/>
              <w:rPr>
                <w:sz w:val="26"/>
                <w:szCs w:val="26"/>
                <w:lang w:val="nl-NL"/>
              </w:rPr>
            </w:pPr>
            <w:r>
              <w:rPr>
                <w:sz w:val="26"/>
                <w:szCs w:val="26"/>
                <w:lang w:val="nl-NL"/>
              </w:rPr>
              <w:t>- Quyết định bổ nhiệm người Chỉ huy nổ mìn của lãnh đạo doanh nghiệp và Danh sách thợ mìn, người liên quan trực tiếp đến sử dụng VLNCN (nếu có thay đổi)</w:t>
            </w:r>
            <w:r>
              <w:rPr>
                <w:i/>
                <w:iCs/>
                <w:sz w:val="26"/>
                <w:szCs w:val="26"/>
                <w:lang w:val="nl-NL"/>
              </w:rPr>
              <w:t>.</w:t>
            </w:r>
          </w:p>
        </w:tc>
      </w:tr>
      <w:tr w:rsidR="00511DFB" w:rsidTr="00511DFB">
        <w:tc>
          <w:tcPr>
            <w:tcW w:w="2659" w:type="dxa"/>
            <w:hideMark/>
          </w:tcPr>
          <w:p w:rsidR="00511DFB" w:rsidRDefault="00511DFB">
            <w:pPr>
              <w:spacing w:before="80"/>
              <w:rPr>
                <w:sz w:val="26"/>
                <w:szCs w:val="26"/>
              </w:rPr>
            </w:pPr>
            <w:r>
              <w:rPr>
                <w:sz w:val="26"/>
                <w:szCs w:val="26"/>
              </w:rPr>
              <w:lastRenderedPageBreak/>
              <w:t>- Số lượng hồ sơ:</w:t>
            </w:r>
          </w:p>
        </w:tc>
        <w:tc>
          <w:tcPr>
            <w:tcW w:w="6516" w:type="dxa"/>
            <w:hideMark/>
          </w:tcPr>
          <w:p w:rsidR="00511DFB" w:rsidRDefault="00511DFB">
            <w:pPr>
              <w:spacing w:before="80"/>
              <w:jc w:val="both"/>
              <w:rPr>
                <w:sz w:val="26"/>
                <w:szCs w:val="26"/>
              </w:rPr>
            </w:pPr>
            <w:r>
              <w:rPr>
                <w:sz w:val="26"/>
                <w:lang w:val="nl-NL"/>
              </w:rPr>
              <w:t>01 bộ</w:t>
            </w:r>
          </w:p>
        </w:tc>
      </w:tr>
      <w:tr w:rsidR="00511DFB" w:rsidTr="00511DFB">
        <w:tc>
          <w:tcPr>
            <w:tcW w:w="2659" w:type="dxa"/>
            <w:hideMark/>
          </w:tcPr>
          <w:p w:rsidR="00511DFB" w:rsidRDefault="00511DFB">
            <w:pPr>
              <w:spacing w:before="80"/>
              <w:rPr>
                <w:sz w:val="26"/>
                <w:szCs w:val="26"/>
              </w:rPr>
            </w:pPr>
            <w:r>
              <w:rPr>
                <w:sz w:val="26"/>
                <w:szCs w:val="26"/>
              </w:rPr>
              <w:t>- Thời hạn giải quyết:</w:t>
            </w:r>
          </w:p>
        </w:tc>
        <w:tc>
          <w:tcPr>
            <w:tcW w:w="6516" w:type="dxa"/>
            <w:hideMark/>
          </w:tcPr>
          <w:p w:rsidR="00511DFB" w:rsidRDefault="00511DFB">
            <w:pPr>
              <w:spacing w:before="80"/>
              <w:jc w:val="both"/>
              <w:rPr>
                <w:sz w:val="26"/>
                <w:szCs w:val="26"/>
              </w:rPr>
            </w:pPr>
            <w:r>
              <w:rPr>
                <w:sz w:val="26"/>
              </w:rPr>
              <w:t>05 ngày làm việc kể từ ngày nhận đủ hồ sơ hợp lệ</w:t>
            </w:r>
          </w:p>
        </w:tc>
      </w:tr>
      <w:tr w:rsidR="00511DFB" w:rsidTr="00511DFB">
        <w:tc>
          <w:tcPr>
            <w:tcW w:w="2659" w:type="dxa"/>
            <w:hideMark/>
          </w:tcPr>
          <w:p w:rsidR="00511DFB" w:rsidRDefault="00511DFB">
            <w:pPr>
              <w:spacing w:before="80"/>
              <w:rPr>
                <w:sz w:val="26"/>
                <w:szCs w:val="26"/>
              </w:rPr>
            </w:pPr>
            <w:r>
              <w:rPr>
                <w:sz w:val="26"/>
                <w:szCs w:val="26"/>
              </w:rPr>
              <w:t>- Đối tượng thực hiện thủ tục hành chính:</w:t>
            </w:r>
          </w:p>
        </w:tc>
        <w:tc>
          <w:tcPr>
            <w:tcW w:w="6516" w:type="dxa"/>
            <w:hideMark/>
          </w:tcPr>
          <w:p w:rsidR="00511DFB" w:rsidRDefault="00511DFB">
            <w:pPr>
              <w:spacing w:before="80"/>
              <w:jc w:val="both"/>
              <w:rPr>
                <w:sz w:val="26"/>
                <w:szCs w:val="26"/>
              </w:rPr>
            </w:pPr>
            <w:r>
              <w:rPr>
                <w:sz w:val="26"/>
              </w:rPr>
              <w:t>Các tổ chức có đăng ký kinh doanh hoặc đăng ký hoạt động những ngành nghề, lĩnh vực cần sử dụng vật liệu nổ công nghiệp</w:t>
            </w:r>
          </w:p>
        </w:tc>
      </w:tr>
      <w:tr w:rsidR="00511DFB" w:rsidTr="00511DFB">
        <w:tc>
          <w:tcPr>
            <w:tcW w:w="2659" w:type="dxa"/>
            <w:hideMark/>
          </w:tcPr>
          <w:p w:rsidR="00511DFB" w:rsidRDefault="00511DFB">
            <w:pPr>
              <w:spacing w:before="80"/>
              <w:rPr>
                <w:sz w:val="26"/>
                <w:szCs w:val="26"/>
              </w:rPr>
            </w:pPr>
            <w:r>
              <w:rPr>
                <w:sz w:val="26"/>
                <w:szCs w:val="26"/>
              </w:rPr>
              <w:t xml:space="preserve">- Cơ quan thực hiện </w:t>
            </w:r>
            <w:r>
              <w:rPr>
                <w:sz w:val="26"/>
                <w:szCs w:val="26"/>
              </w:rPr>
              <w:lastRenderedPageBreak/>
              <w:t>thủ tục hành chính:</w:t>
            </w:r>
          </w:p>
        </w:tc>
        <w:tc>
          <w:tcPr>
            <w:tcW w:w="6516" w:type="dxa"/>
            <w:hideMark/>
          </w:tcPr>
          <w:p w:rsidR="00511DFB" w:rsidRDefault="00511DFB">
            <w:pPr>
              <w:spacing w:before="80"/>
              <w:jc w:val="both"/>
              <w:rPr>
                <w:sz w:val="26"/>
                <w:szCs w:val="26"/>
              </w:rPr>
            </w:pPr>
            <w:r>
              <w:rPr>
                <w:sz w:val="26"/>
                <w:szCs w:val="26"/>
                <w:lang w:val="vi-VN"/>
              </w:rPr>
              <w:lastRenderedPageBreak/>
              <w:t>Sở Công Thương</w:t>
            </w:r>
            <w:r>
              <w:rPr>
                <w:sz w:val="26"/>
                <w:szCs w:val="26"/>
              </w:rPr>
              <w:t xml:space="preserve"> tỉnh Điện Biên</w:t>
            </w:r>
          </w:p>
        </w:tc>
      </w:tr>
      <w:tr w:rsidR="00511DFB" w:rsidTr="00511DFB">
        <w:tc>
          <w:tcPr>
            <w:tcW w:w="2659" w:type="dxa"/>
            <w:hideMark/>
          </w:tcPr>
          <w:p w:rsidR="00511DFB" w:rsidRDefault="00511DFB">
            <w:pPr>
              <w:spacing w:before="80"/>
              <w:rPr>
                <w:sz w:val="26"/>
                <w:szCs w:val="26"/>
              </w:rPr>
            </w:pPr>
            <w:r>
              <w:rPr>
                <w:sz w:val="26"/>
                <w:szCs w:val="26"/>
              </w:rPr>
              <w:lastRenderedPageBreak/>
              <w:t>- Kết quả thực hiện thủ tục hành chính:</w:t>
            </w:r>
          </w:p>
        </w:tc>
        <w:tc>
          <w:tcPr>
            <w:tcW w:w="6516" w:type="dxa"/>
            <w:hideMark/>
          </w:tcPr>
          <w:p w:rsidR="00511DFB" w:rsidRDefault="00511DFB">
            <w:pPr>
              <w:spacing w:before="80"/>
              <w:jc w:val="both"/>
              <w:rPr>
                <w:sz w:val="26"/>
                <w:szCs w:val="26"/>
              </w:rPr>
            </w:pPr>
            <w:r>
              <w:rPr>
                <w:sz w:val="26"/>
              </w:rPr>
              <w:t>Giấy phép sử dụng VLNCN</w:t>
            </w:r>
          </w:p>
        </w:tc>
      </w:tr>
      <w:tr w:rsidR="00511DFB" w:rsidTr="00511DFB">
        <w:tc>
          <w:tcPr>
            <w:tcW w:w="2659" w:type="dxa"/>
            <w:hideMark/>
          </w:tcPr>
          <w:p w:rsidR="00511DFB" w:rsidRDefault="00511DFB">
            <w:pPr>
              <w:spacing w:before="80"/>
              <w:rPr>
                <w:sz w:val="26"/>
                <w:szCs w:val="26"/>
              </w:rPr>
            </w:pPr>
            <w:r>
              <w:rPr>
                <w:sz w:val="26"/>
                <w:szCs w:val="26"/>
              </w:rPr>
              <w:t>- Lệ phí (Nếu có):</w:t>
            </w:r>
          </w:p>
        </w:tc>
        <w:tc>
          <w:tcPr>
            <w:tcW w:w="6516" w:type="dxa"/>
            <w:hideMark/>
          </w:tcPr>
          <w:p w:rsidR="00511DFB" w:rsidRDefault="00511DFB">
            <w:pPr>
              <w:spacing w:before="80"/>
              <w:jc w:val="both"/>
              <w:rPr>
                <w:i/>
                <w:sz w:val="26"/>
                <w:szCs w:val="26"/>
              </w:rPr>
            </w:pPr>
            <w:r>
              <w:rPr>
                <w:i/>
                <w:sz w:val="26"/>
                <w:szCs w:val="26"/>
              </w:rPr>
              <w:t xml:space="preserve">- </w:t>
            </w:r>
            <w:r>
              <w:rPr>
                <w:i/>
                <w:sz w:val="26"/>
                <w:szCs w:val="26"/>
                <w:lang w:val="vi-VN"/>
              </w:rPr>
              <w:t xml:space="preserve">Trường hợp </w:t>
            </w:r>
            <w:r>
              <w:rPr>
                <w:i/>
                <w:sz w:val="26"/>
                <w:szCs w:val="26"/>
              </w:rPr>
              <w:t xml:space="preserve">cấp </w:t>
            </w:r>
            <w:r>
              <w:rPr>
                <w:i/>
                <w:sz w:val="26"/>
                <w:szCs w:val="26"/>
                <w:lang w:val="vi-VN"/>
              </w:rPr>
              <w:t xml:space="preserve">điều chỉnh giấy phép nhưng không có thay đổi về địa điểm, quy mô, điều kiện hoạt động sử dụng vật liệu nổ công nghiệp thì áp dụng mức thu bằng 50% (năm mươi phần trăm) mức thu tương ứng </w:t>
            </w:r>
            <w:r>
              <w:rPr>
                <w:i/>
                <w:sz w:val="26"/>
                <w:szCs w:val="26"/>
              </w:rPr>
              <w:t>với cấp lần đầu giấy phép sử dụng VLNCN</w:t>
            </w:r>
            <w:r>
              <w:rPr>
                <w:i/>
                <w:sz w:val="26"/>
                <w:szCs w:val="26"/>
                <w:lang w:val="vi-VN"/>
              </w:rPr>
              <w:t>.</w:t>
            </w:r>
          </w:p>
          <w:p w:rsidR="00511DFB" w:rsidRDefault="00511DFB">
            <w:pPr>
              <w:spacing w:before="80"/>
              <w:jc w:val="both"/>
              <w:rPr>
                <w:i/>
                <w:sz w:val="26"/>
                <w:szCs w:val="26"/>
              </w:rPr>
            </w:pPr>
            <w:r>
              <w:rPr>
                <w:i/>
                <w:sz w:val="26"/>
                <w:szCs w:val="26"/>
              </w:rPr>
              <w:t xml:space="preserve">- </w:t>
            </w:r>
            <w:r>
              <w:rPr>
                <w:i/>
                <w:sz w:val="26"/>
                <w:szCs w:val="26"/>
                <w:lang w:val="vi-VN"/>
              </w:rPr>
              <w:t xml:space="preserve">Trường hợp cấp điều chỉnh giấy phép có thay đổi về đăng ký kinh doanh, địa điểm, quy mô hoặc điều kiện hoạt động sử dụng vật liệu nổ công nghiệp thì áp dụng mức thu bằng mức thu tương ứng </w:t>
            </w:r>
            <w:r>
              <w:rPr>
                <w:i/>
                <w:sz w:val="26"/>
                <w:szCs w:val="26"/>
              </w:rPr>
              <w:t>cấp lần đầu giấy phép sử dụng VLNCN</w:t>
            </w:r>
            <w:r>
              <w:rPr>
                <w:i/>
                <w:sz w:val="26"/>
                <w:szCs w:val="26"/>
                <w:lang w:val="vi-VN"/>
              </w:rPr>
              <w:t>.</w:t>
            </w:r>
          </w:p>
        </w:tc>
      </w:tr>
      <w:tr w:rsidR="00511DFB" w:rsidTr="00511DFB">
        <w:tc>
          <w:tcPr>
            <w:tcW w:w="2659" w:type="dxa"/>
            <w:hideMark/>
          </w:tcPr>
          <w:p w:rsidR="00511DFB" w:rsidRDefault="00511DFB">
            <w:pPr>
              <w:spacing w:before="80"/>
              <w:rPr>
                <w:sz w:val="26"/>
                <w:szCs w:val="26"/>
              </w:rPr>
            </w:pPr>
            <w:r>
              <w:rPr>
                <w:sz w:val="26"/>
                <w:szCs w:val="26"/>
              </w:rPr>
              <w:t xml:space="preserve">- Tên mẫu đơn, mẫu tờ khai </w:t>
            </w:r>
          </w:p>
        </w:tc>
        <w:tc>
          <w:tcPr>
            <w:tcW w:w="6516" w:type="dxa"/>
            <w:hideMark/>
          </w:tcPr>
          <w:p w:rsidR="00511DFB" w:rsidRDefault="00511DFB">
            <w:pPr>
              <w:spacing w:before="80"/>
              <w:jc w:val="both"/>
              <w:rPr>
                <w:sz w:val="26"/>
                <w:szCs w:val="26"/>
              </w:rPr>
            </w:pPr>
            <w:r>
              <w:rPr>
                <w:sz w:val="26"/>
                <w:szCs w:val="26"/>
              </w:rPr>
              <w:t>Đơn đề nghị cấp giấy phép sử dụng vật liệu nổ công nghiệp</w:t>
            </w:r>
          </w:p>
        </w:tc>
      </w:tr>
      <w:tr w:rsidR="00511DFB" w:rsidTr="00511DFB">
        <w:tc>
          <w:tcPr>
            <w:tcW w:w="2659" w:type="dxa"/>
            <w:hideMark/>
          </w:tcPr>
          <w:p w:rsidR="00511DFB" w:rsidRDefault="00511DFB">
            <w:pPr>
              <w:spacing w:before="80"/>
              <w:rPr>
                <w:sz w:val="26"/>
                <w:szCs w:val="26"/>
              </w:rPr>
            </w:pPr>
            <w:r>
              <w:rPr>
                <w:sz w:val="26"/>
                <w:szCs w:val="26"/>
              </w:rPr>
              <w:t>- Yêu cầu, điều kiện để thực hiện thủ tục hành chính:</w:t>
            </w:r>
          </w:p>
        </w:tc>
        <w:tc>
          <w:tcPr>
            <w:tcW w:w="6516" w:type="dxa"/>
            <w:hideMark/>
          </w:tcPr>
          <w:p w:rsidR="00511DFB" w:rsidRDefault="00511DFB">
            <w:pPr>
              <w:spacing w:before="60" w:after="60" w:line="264" w:lineRule="auto"/>
              <w:jc w:val="both"/>
              <w:rPr>
                <w:sz w:val="26"/>
                <w:szCs w:val="26"/>
              </w:rPr>
            </w:pPr>
            <w:r>
              <w:rPr>
                <w:sz w:val="26"/>
                <w:szCs w:val="26"/>
              </w:rPr>
              <w:t>- Là tổ chức được thành lập theo quy định pháp luật, có đăng ký kinh doanh hoặc đăng ký hoạt động những ngành nghề, lĩnh vực cần sử dụng vật liệu nổ công nghiệp;</w:t>
            </w:r>
          </w:p>
          <w:p w:rsidR="00511DFB" w:rsidRDefault="00511DFB">
            <w:pPr>
              <w:spacing w:before="60" w:after="60" w:line="264" w:lineRule="auto"/>
              <w:jc w:val="both"/>
              <w:rPr>
                <w:sz w:val="26"/>
                <w:szCs w:val="26"/>
              </w:rPr>
            </w:pPr>
            <w:r>
              <w:rPr>
                <w:sz w:val="26"/>
                <w:szCs w:val="26"/>
              </w:rPr>
              <w:t>- Có hoạt động khoáng sản hoặc công trình xây dựng, công trình nghiên cứu, thử nghiệm cần sử dụng vật liệu nổ công nghiệp. Địa điểm sử dụng vật liệu nổ công nghiệp phải đảm bảo các điều kiện về an ninh trật tự, đảm bảo khoảng cách an toàn đối với các công trình, đối tượng cần bảo vệ theo tiêu chuẩn, quy chuẩn kỹ thuật hiện hành và quy định liên quan;</w:t>
            </w:r>
          </w:p>
          <w:p w:rsidR="00511DFB" w:rsidRDefault="00511DFB">
            <w:pPr>
              <w:spacing w:before="60" w:after="60" w:line="264" w:lineRule="auto"/>
              <w:jc w:val="both"/>
              <w:rPr>
                <w:sz w:val="26"/>
                <w:szCs w:val="26"/>
              </w:rPr>
            </w:pPr>
            <w:r>
              <w:rPr>
                <w:sz w:val="26"/>
                <w:szCs w:val="26"/>
              </w:rPr>
              <w:t>- Có kho chứa, công nghệ, thiết bị, phương tiện, dụng cụ phục vụ công tác sử dụng vật liệu nổ công nghiệp thoả mãn các yêu cầu theo tiêu chuẩn, quy chuẩn kỹ thuật hiện hành và các quy định tại Mục 6 Nghị định 39/2009/NĐ-CP; trường hợp không có kho, phương tiện vận chuyển, phải có hợp đồng thuê bằng văn bản với các tổ chức được phép bảo quản, vận chuyển vật liệu nổ công nghiệp;</w:t>
            </w:r>
          </w:p>
          <w:p w:rsidR="00511DFB" w:rsidRDefault="00511DFB">
            <w:pPr>
              <w:pStyle w:val="NormalWeb"/>
              <w:spacing w:before="80" w:beforeAutospacing="0" w:after="0" w:afterAutospacing="0" w:line="320" w:lineRule="exact"/>
              <w:jc w:val="both"/>
              <w:rPr>
                <w:rFonts w:ascii="Times New Roman" w:hAnsi="Times New Roman" w:cs="Times New Roman"/>
                <w:sz w:val="26"/>
                <w:szCs w:val="26"/>
              </w:rPr>
            </w:pPr>
            <w:r>
              <w:rPr>
                <w:rFonts w:ascii="Times New Roman" w:hAnsi="Times New Roman" w:cs="Times New Roman"/>
                <w:sz w:val="26"/>
                <w:szCs w:val="26"/>
                <w:lang w:val="nl-NL"/>
              </w:rPr>
              <w:t>- Lãnh đạo quản lý, chỉ huy nổ mìn, thợ mìn, người phục vụ liên quan đến sử dụng vật liệu nổ công nghiệp phải đáp ứng các yêu cầu về an ninh, trật tự; có trình độ chuyên môn tương xứng với vị trí, chức trách đảm nhiệm, được huấn luyện về kỹ thuật an toàn, phòng cháy, chữa cháy, ứng phó sự cố trong các hoạt động liên quan đến sử dụng vật liệu nổ công nghiệp.</w:t>
            </w:r>
          </w:p>
        </w:tc>
      </w:tr>
      <w:tr w:rsidR="00511DFB" w:rsidTr="00511DFB">
        <w:tc>
          <w:tcPr>
            <w:tcW w:w="2659" w:type="dxa"/>
            <w:hideMark/>
          </w:tcPr>
          <w:p w:rsidR="00511DFB" w:rsidRDefault="00511DFB">
            <w:pPr>
              <w:spacing w:before="80"/>
              <w:rPr>
                <w:sz w:val="26"/>
                <w:szCs w:val="26"/>
              </w:rPr>
            </w:pPr>
            <w:r>
              <w:rPr>
                <w:sz w:val="26"/>
                <w:szCs w:val="26"/>
              </w:rPr>
              <w:t>- Căn cứ pháp lý của thủ tục hành chính:</w:t>
            </w:r>
          </w:p>
        </w:tc>
        <w:tc>
          <w:tcPr>
            <w:tcW w:w="6516" w:type="dxa"/>
            <w:hideMark/>
          </w:tcPr>
          <w:p w:rsidR="00511DFB" w:rsidRDefault="00511DFB">
            <w:pPr>
              <w:spacing w:before="120" w:after="120"/>
              <w:jc w:val="both"/>
              <w:rPr>
                <w:sz w:val="26"/>
                <w:szCs w:val="26"/>
                <w:lang w:val="nl-NL"/>
              </w:rPr>
            </w:pPr>
            <w:r>
              <w:rPr>
                <w:sz w:val="26"/>
                <w:szCs w:val="26"/>
                <w:lang w:val="nl-NL"/>
              </w:rPr>
              <w:t>- Pháp lệnh quản lý, sử dụng vũ khí, vật liệu nổ và công cụ hỗ trợ;</w:t>
            </w:r>
          </w:p>
          <w:p w:rsidR="00511DFB" w:rsidRDefault="00511DFB">
            <w:pPr>
              <w:spacing w:before="120" w:after="120"/>
              <w:jc w:val="both"/>
              <w:rPr>
                <w:sz w:val="26"/>
                <w:szCs w:val="26"/>
                <w:lang w:val="nl-NL"/>
              </w:rPr>
            </w:pPr>
            <w:r>
              <w:rPr>
                <w:sz w:val="26"/>
                <w:szCs w:val="26"/>
                <w:lang w:val="nl-NL"/>
              </w:rPr>
              <w:t xml:space="preserve">- Pháp lệnh sửa đổi, bổ sung một số điều của Pháp lệnh </w:t>
            </w:r>
            <w:r>
              <w:rPr>
                <w:sz w:val="26"/>
                <w:szCs w:val="26"/>
                <w:lang w:val="nl-NL"/>
              </w:rPr>
              <w:lastRenderedPageBreak/>
              <w:t>quản lý, sử dụng vũ khí, vật liệu nổ và công cụ hỗ trợ;</w:t>
            </w:r>
          </w:p>
          <w:p w:rsidR="00511DFB" w:rsidRDefault="00511DFB">
            <w:pPr>
              <w:spacing w:before="120" w:after="120"/>
              <w:jc w:val="both"/>
              <w:rPr>
                <w:sz w:val="26"/>
                <w:szCs w:val="26"/>
                <w:lang w:val="nl-NL"/>
              </w:rPr>
            </w:pPr>
            <w:r>
              <w:rPr>
                <w:sz w:val="26"/>
                <w:szCs w:val="26"/>
                <w:lang w:val="nl-NL"/>
              </w:rPr>
              <w:t>- Nghị định số 39/2009/NĐ-CP ngày 23 tháng 4 năm 2009 của Chính phủ về vật liệu nổ công nghiệp;</w:t>
            </w:r>
          </w:p>
          <w:p w:rsidR="00511DFB" w:rsidRDefault="00511DFB">
            <w:pPr>
              <w:spacing w:before="120" w:after="120"/>
              <w:jc w:val="both"/>
              <w:rPr>
                <w:sz w:val="26"/>
                <w:szCs w:val="26"/>
                <w:lang w:val="nl-NL"/>
              </w:rPr>
            </w:pPr>
            <w:r>
              <w:rPr>
                <w:sz w:val="26"/>
                <w:szCs w:val="26"/>
                <w:lang w:val="nl-NL"/>
              </w:rPr>
              <w:t>- Nghị định số 54/2012/NĐ-CP ngày 22 tháng 6 năm 2012 của Chính phủ sửa đổi, bổ sung một số điều Nghị định số 39/2009/NĐ-CP ngày 23 tháng 4 năm 2009 của Chính phủ về vật liệu nổ công nghiệp;</w:t>
            </w:r>
          </w:p>
          <w:p w:rsidR="00511DFB" w:rsidRDefault="00511DFB">
            <w:pPr>
              <w:spacing w:before="120" w:after="120"/>
              <w:jc w:val="both"/>
              <w:rPr>
                <w:sz w:val="26"/>
                <w:szCs w:val="26"/>
                <w:lang w:val="nl-NL"/>
              </w:rPr>
            </w:pPr>
            <w:r>
              <w:rPr>
                <w:sz w:val="26"/>
                <w:szCs w:val="26"/>
                <w:lang w:val="nl-NL"/>
              </w:rPr>
              <w:t>- Thông tư số 23/2009/TT-BCT ngày 11 tháng 8 năm 2009 của Bộ trưởng Bộ Công Thương quy định chi tiết một số điều của Nghị định số 39/2009/NĐ-CP ngày 23 tháng 4 năm 2009 của Chính phủ về vật liệu nổ công nghiệp;</w:t>
            </w:r>
          </w:p>
          <w:p w:rsidR="00511DFB" w:rsidRDefault="00511DFB">
            <w:pPr>
              <w:spacing w:before="120" w:after="120"/>
              <w:jc w:val="both"/>
              <w:rPr>
                <w:sz w:val="26"/>
                <w:szCs w:val="26"/>
                <w:lang w:val="nl-NL"/>
              </w:rPr>
            </w:pPr>
            <w:r>
              <w:rPr>
                <w:sz w:val="26"/>
                <w:szCs w:val="26"/>
                <w:lang w:val="nl-NL"/>
              </w:rPr>
              <w:t>- Thông tư số 26/2012/TT-BCT ngày 21 tháng 9 năm 2012 của Bộ trưởng Bộ Công Thương sửa đổi, bổ sung một số điều Thông tư số 23/2009/TT-BCT ngày 11 tháng 8 năm 2009 của Bộ trưởng Bộ Công Thương quy định chi tiết một số điều của Nghị định số 39/2009/NĐ-CP ngày 23 tháng 4 năm 2009 của Chính phủ về vật liệu nổ công nghiệp;</w:t>
            </w:r>
          </w:p>
          <w:p w:rsidR="00511DFB" w:rsidRDefault="00511DFB">
            <w:pPr>
              <w:spacing w:before="120" w:after="120"/>
              <w:jc w:val="both"/>
              <w:rPr>
                <w:sz w:val="26"/>
                <w:szCs w:val="26"/>
                <w:lang w:val="nl-NL"/>
              </w:rPr>
            </w:pPr>
            <w:r>
              <w:rPr>
                <w:sz w:val="26"/>
                <w:szCs w:val="26"/>
                <w:lang w:val="nl-NL"/>
              </w:rPr>
              <w:t>- Quyết định số 20/2015/QĐ-UBND, ngày 11 tháng 11 năm 2015 của Ủy ban nhân dân tỉnh Điện Biên, ban hành quy chế hoạt động và quản lý vật liệu nổ công nghiệp trên địa bàn tỉnh Điện Biên;</w:t>
            </w:r>
          </w:p>
          <w:p w:rsidR="00511DFB" w:rsidRDefault="00511DFB">
            <w:pPr>
              <w:spacing w:before="80"/>
              <w:jc w:val="both"/>
              <w:rPr>
                <w:sz w:val="26"/>
                <w:szCs w:val="26"/>
                <w:lang w:val="nl-NL"/>
              </w:rPr>
            </w:pPr>
            <w:r>
              <w:rPr>
                <w:i/>
                <w:sz w:val="26"/>
                <w:szCs w:val="26"/>
                <w:lang w:val="da-DK"/>
              </w:rPr>
              <w:t>Thông tư 148/2016/TT-BTC ngày 14/10/2016 của Bộ Tài chính Quy định mức thu, chế độ thu, nộp, quản lý và sử dụng phí thẩm định cấp phép sử dụng vật liệu nổ công nghiệp</w:t>
            </w:r>
          </w:p>
        </w:tc>
      </w:tr>
    </w:tbl>
    <w:p w:rsidR="00511DFB" w:rsidRDefault="00511DFB" w:rsidP="00511DFB">
      <w:pPr>
        <w:overflowPunct w:val="0"/>
        <w:autoSpaceDE w:val="0"/>
        <w:autoSpaceDN w:val="0"/>
        <w:adjustRightInd w:val="0"/>
        <w:spacing w:before="80" w:after="80"/>
        <w:jc w:val="both"/>
        <w:textAlignment w:val="baseline"/>
        <w:rPr>
          <w:sz w:val="26"/>
          <w:szCs w:val="26"/>
          <w:lang w:val="da-DK"/>
        </w:rPr>
      </w:pPr>
      <w:r>
        <w:rPr>
          <w:b/>
          <w:i/>
          <w:sz w:val="26"/>
          <w:szCs w:val="26"/>
          <w:lang w:val="da-DK"/>
        </w:rPr>
        <w:lastRenderedPageBreak/>
        <w:t>Ghi chú: Phần in nghiêng là nội dung sửa đổi, bổ sung, thay thế.</w:t>
      </w:r>
    </w:p>
    <w:p w:rsidR="00511DFB" w:rsidRDefault="00511DFB" w:rsidP="00511DFB">
      <w:pPr>
        <w:rPr>
          <w:b/>
          <w:bCs/>
          <w:lang w:val="da-DK"/>
        </w:rPr>
      </w:pPr>
      <w:r>
        <w:rPr>
          <w:sz w:val="26"/>
          <w:szCs w:val="26"/>
          <w:lang w:val="da-DK"/>
        </w:rPr>
        <w:br w:type="page"/>
      </w:r>
      <w:r>
        <w:rPr>
          <w:b/>
          <w:bCs/>
          <w:lang w:val="da-DK"/>
        </w:rPr>
        <w:lastRenderedPageBreak/>
        <w:t>Mẫu Đơn đề nghị</w:t>
      </w:r>
    </w:p>
    <w:p w:rsidR="00511DFB" w:rsidRDefault="00511DFB" w:rsidP="00511DFB">
      <w:pPr>
        <w:jc w:val="center"/>
        <w:rPr>
          <w:b/>
          <w:bCs/>
          <w:lang w:val="da-DK"/>
        </w:rPr>
      </w:pPr>
      <w:r>
        <w:rPr>
          <w:b/>
          <w:bCs/>
          <w:lang w:val="da-DK"/>
        </w:rPr>
        <w:t xml:space="preserve">CỘNG HÒA XÃ HỘI CHỦ NGHĨA VIỆT NAM </w:t>
      </w:r>
      <w:r>
        <w:rPr>
          <w:b/>
          <w:bCs/>
          <w:lang w:val="da-DK"/>
        </w:rPr>
        <w:br/>
        <w:t>Độc lập -Tự do - Hạnh phúc</w:t>
      </w:r>
      <w:r>
        <w:rPr>
          <w:b/>
          <w:bCs/>
          <w:lang w:val="da-DK"/>
        </w:rPr>
        <w:br/>
        <w:t>--------------------------</w:t>
      </w:r>
    </w:p>
    <w:p w:rsidR="00511DFB" w:rsidRDefault="00511DFB" w:rsidP="00511DFB">
      <w:pPr>
        <w:jc w:val="center"/>
        <w:rPr>
          <w:b/>
          <w:bCs/>
          <w:lang w:val="da-DK"/>
        </w:rPr>
      </w:pPr>
    </w:p>
    <w:p w:rsidR="00511DFB" w:rsidRDefault="00511DFB" w:rsidP="00511DFB">
      <w:pPr>
        <w:jc w:val="center"/>
        <w:rPr>
          <w:b/>
          <w:bCs/>
          <w:lang w:val="da-DK"/>
        </w:rPr>
      </w:pPr>
      <w:r>
        <w:rPr>
          <w:b/>
          <w:bCs/>
          <w:lang w:val="da-DK"/>
        </w:rPr>
        <w:t>ĐƠN ĐỀ NGHỊ</w:t>
      </w:r>
    </w:p>
    <w:p w:rsidR="00511DFB" w:rsidRDefault="00511DFB" w:rsidP="00511DFB">
      <w:pPr>
        <w:jc w:val="center"/>
        <w:rPr>
          <w:b/>
          <w:bCs/>
          <w:lang w:val="da-DK"/>
        </w:rPr>
      </w:pPr>
      <w:r>
        <w:rPr>
          <w:b/>
          <w:bCs/>
          <w:lang w:val="da-DK"/>
        </w:rPr>
        <w:t>Cấp Giấy phép sử dụng vật liệu nổ công nghiệp</w:t>
      </w:r>
    </w:p>
    <w:p w:rsidR="00511DFB" w:rsidRDefault="00511DFB" w:rsidP="00511DFB">
      <w:pPr>
        <w:jc w:val="center"/>
        <w:rPr>
          <w:b/>
          <w:bCs/>
          <w:vertAlign w:val="superscript"/>
          <w:lang w:val="da-DK"/>
        </w:rPr>
      </w:pPr>
    </w:p>
    <w:p w:rsidR="00511DFB" w:rsidRDefault="00511DFB" w:rsidP="00511DFB">
      <w:pPr>
        <w:spacing w:before="120" w:after="120"/>
        <w:jc w:val="center"/>
        <w:rPr>
          <w:b/>
          <w:bCs/>
          <w:sz w:val="26"/>
          <w:vertAlign w:val="superscript"/>
          <w:lang w:val="da-DK"/>
        </w:rPr>
      </w:pPr>
      <w:r>
        <w:rPr>
          <w:b/>
          <w:bCs/>
          <w:sz w:val="26"/>
          <w:lang w:val="da-DK"/>
        </w:rPr>
        <w:t>Kính gửi: Sở Công Thương tỉnh Điện Biên</w:t>
      </w:r>
    </w:p>
    <w:p w:rsidR="00511DFB" w:rsidRDefault="00511DFB" w:rsidP="00511DFB">
      <w:pPr>
        <w:spacing w:before="120" w:after="120"/>
        <w:jc w:val="both"/>
        <w:rPr>
          <w:sz w:val="26"/>
          <w:lang w:val="da-DK"/>
        </w:rPr>
      </w:pPr>
      <w:r>
        <w:rPr>
          <w:sz w:val="26"/>
          <w:lang w:val="da-DK"/>
        </w:rPr>
        <w:t>Tên doanh nghiệp: …………………………………………………………..</w:t>
      </w:r>
    </w:p>
    <w:p w:rsidR="00511DFB" w:rsidRDefault="00511DFB" w:rsidP="00511DFB">
      <w:pPr>
        <w:spacing w:before="120" w:after="120"/>
        <w:jc w:val="both"/>
        <w:rPr>
          <w:sz w:val="26"/>
          <w:lang w:val="da-DK"/>
        </w:rPr>
      </w:pPr>
      <w:r>
        <w:rPr>
          <w:sz w:val="26"/>
          <w:lang w:val="da-DK"/>
        </w:rPr>
        <w:t>Quyết định hoặc Giấy phép thành lập số: ……………………………</w:t>
      </w:r>
    </w:p>
    <w:p w:rsidR="00511DFB" w:rsidRDefault="00511DFB" w:rsidP="00511DFB">
      <w:pPr>
        <w:spacing w:before="120" w:after="120"/>
        <w:jc w:val="both"/>
        <w:rPr>
          <w:sz w:val="26"/>
          <w:lang w:val="da-DK"/>
        </w:rPr>
      </w:pPr>
      <w:r>
        <w:rPr>
          <w:sz w:val="26"/>
          <w:lang w:val="da-DK"/>
        </w:rPr>
        <w:t>Do …………………………..…..                          cấp ngày ………………….</w:t>
      </w:r>
    </w:p>
    <w:p w:rsidR="00511DFB" w:rsidRDefault="00511DFB" w:rsidP="00511DFB">
      <w:pPr>
        <w:spacing w:before="120" w:after="120"/>
        <w:jc w:val="both"/>
        <w:rPr>
          <w:sz w:val="26"/>
          <w:lang w:val="da-DK"/>
        </w:rPr>
      </w:pPr>
      <w:r>
        <w:rPr>
          <w:sz w:val="26"/>
          <w:lang w:val="da-DK"/>
        </w:rPr>
        <w:t>Nơi đặt trụ sở chính: …………………………………………………...</w:t>
      </w:r>
    </w:p>
    <w:p w:rsidR="00511DFB" w:rsidRDefault="00511DFB" w:rsidP="00511DFB">
      <w:pPr>
        <w:spacing w:before="120" w:after="120"/>
        <w:jc w:val="both"/>
        <w:rPr>
          <w:sz w:val="26"/>
          <w:lang w:val="da-DK"/>
        </w:rPr>
      </w:pPr>
      <w:r>
        <w:rPr>
          <w:sz w:val="26"/>
          <w:lang w:val="da-DK"/>
        </w:rPr>
        <w:t>Đăng ký kinh doanh số ………………….. do …………………………….……….. cấp ngày ….. tháng... năm 20 ……………….</w:t>
      </w:r>
    </w:p>
    <w:p w:rsidR="00511DFB" w:rsidRDefault="00511DFB" w:rsidP="00511DFB">
      <w:pPr>
        <w:spacing w:before="120" w:after="120"/>
        <w:jc w:val="both"/>
        <w:rPr>
          <w:sz w:val="26"/>
          <w:lang w:val="da-DK"/>
        </w:rPr>
      </w:pPr>
      <w:r>
        <w:rPr>
          <w:sz w:val="26"/>
          <w:lang w:val="da-DK"/>
        </w:rPr>
        <w:t>Mục đích: …………………………………………………………..</w:t>
      </w:r>
    </w:p>
    <w:p w:rsidR="00511DFB" w:rsidRDefault="00511DFB" w:rsidP="00511DFB">
      <w:pPr>
        <w:spacing w:before="120" w:after="120"/>
        <w:jc w:val="both"/>
        <w:rPr>
          <w:sz w:val="26"/>
          <w:lang w:val="da-DK"/>
        </w:rPr>
      </w:pPr>
      <w:r>
        <w:rPr>
          <w:sz w:val="26"/>
          <w:lang w:val="da-DK"/>
        </w:rPr>
        <w:t>Phạm vi, địa điểm: ………………………………………………………..</w:t>
      </w:r>
    </w:p>
    <w:p w:rsidR="00511DFB" w:rsidRDefault="00511DFB" w:rsidP="00511DFB">
      <w:pPr>
        <w:spacing w:before="120" w:after="120"/>
        <w:jc w:val="both"/>
        <w:rPr>
          <w:sz w:val="26"/>
          <w:lang w:val="da-DK"/>
        </w:rPr>
      </w:pPr>
      <w:r>
        <w:rPr>
          <w:sz w:val="26"/>
          <w:lang w:val="da-DK"/>
        </w:rPr>
        <w:t>Họ và tên người đại diện: …………………………………………………….</w:t>
      </w:r>
    </w:p>
    <w:p w:rsidR="00511DFB" w:rsidRDefault="00511DFB" w:rsidP="00511DFB">
      <w:pPr>
        <w:spacing w:before="120" w:after="120"/>
        <w:jc w:val="both"/>
        <w:rPr>
          <w:sz w:val="26"/>
        </w:rPr>
      </w:pPr>
      <w:r>
        <w:rPr>
          <w:sz w:val="26"/>
        </w:rPr>
        <w:t>Ngày tháng năm sinh: …………………. Nam (Nữ) …………………………...</w:t>
      </w:r>
    </w:p>
    <w:p w:rsidR="00511DFB" w:rsidRDefault="00511DFB" w:rsidP="00511DFB">
      <w:pPr>
        <w:spacing w:before="120" w:after="120"/>
        <w:jc w:val="both"/>
        <w:rPr>
          <w:sz w:val="26"/>
        </w:rPr>
      </w:pPr>
      <w:r>
        <w:rPr>
          <w:sz w:val="26"/>
        </w:rPr>
        <w:t>Chức danh (Giám đốc/Chủ doanh nghiệp): ………………………………………</w:t>
      </w:r>
    </w:p>
    <w:p w:rsidR="00511DFB" w:rsidRDefault="00511DFB" w:rsidP="00511DFB">
      <w:pPr>
        <w:spacing w:before="120" w:after="120"/>
        <w:jc w:val="both"/>
        <w:rPr>
          <w:sz w:val="26"/>
        </w:rPr>
      </w:pPr>
      <w:r>
        <w:rPr>
          <w:sz w:val="26"/>
        </w:rPr>
        <w:t>Địa chỉ thường trú (hoặc tạm trú): …………………………………………</w:t>
      </w:r>
    </w:p>
    <w:p w:rsidR="00511DFB" w:rsidRDefault="00511DFB" w:rsidP="00511DFB">
      <w:pPr>
        <w:spacing w:before="120" w:after="120"/>
        <w:jc w:val="both"/>
        <w:rPr>
          <w:sz w:val="26"/>
        </w:rPr>
      </w:pPr>
      <w:r>
        <w:rPr>
          <w:sz w:val="26"/>
        </w:rPr>
        <w:t>Đề nghị Sở Công Thương tỉnh Điện Biên xem xét và cấp Giấy phép sử dụng vật liệu nổ công nghiệp cho doanh nghiệp theo quy định tại Nghị định số 39/2009/NĐ-CP ngày 23 tháng 4 năm 2009 của Chính phủ về vật liệu nổ công nghiệp; Nghị định số 54/2012/NĐ-CP ngày 22 tháng 6 năm 2012 của Chính phủ sửa đổi, bổ sung một số điều Nghị định số 39/2009/NĐ-CP ngày 23 tháng 4 năm 2009; Thông tư số 23/2009/TT-BCT ngày 11 tháng 8 năm 2009 của Bộ trưởng Bộ Công Thương quy định chi tiết một số điều trong Nghị định số 39/2009/NĐ-CP ngày 23 tháng 4 năm 2009 của Chính phủ về vật liệu nổ công nghiệp và Thông tư số 26/2012/TT-BCT ngày 21 tháng 9 năm 2012 của Bộ trưởng Bộ Công Thương sửa đổi bổ sung một số điều tại Thông tư số 23/2009/TT-BCT.</w:t>
      </w:r>
    </w:p>
    <w:tbl>
      <w:tblPr>
        <w:tblW w:w="0" w:type="auto"/>
        <w:tblLook w:val="01E0"/>
      </w:tblPr>
      <w:tblGrid>
        <w:gridCol w:w="3652"/>
        <w:gridCol w:w="5528"/>
      </w:tblGrid>
      <w:tr w:rsidR="00511DFB" w:rsidTr="00511DFB">
        <w:tc>
          <w:tcPr>
            <w:tcW w:w="3652" w:type="dxa"/>
          </w:tcPr>
          <w:p w:rsidR="00511DFB" w:rsidRDefault="00511DFB">
            <w:pPr>
              <w:spacing w:before="120" w:after="120"/>
              <w:rPr>
                <w:sz w:val="26"/>
              </w:rPr>
            </w:pPr>
          </w:p>
        </w:tc>
        <w:tc>
          <w:tcPr>
            <w:tcW w:w="5528" w:type="dxa"/>
            <w:hideMark/>
          </w:tcPr>
          <w:p w:rsidR="00511DFB" w:rsidRDefault="00511DFB">
            <w:pPr>
              <w:spacing w:before="120" w:after="120"/>
              <w:jc w:val="center"/>
              <w:rPr>
                <w:sz w:val="26"/>
              </w:rPr>
            </w:pPr>
            <w:r>
              <w:rPr>
                <w:sz w:val="26"/>
              </w:rPr>
              <w:t>………. Ngày …. tháng …... năm ……..</w:t>
            </w:r>
            <w:r>
              <w:rPr>
                <w:sz w:val="26"/>
              </w:rPr>
              <w:br/>
            </w:r>
            <w:r>
              <w:rPr>
                <w:b/>
                <w:bCs/>
                <w:sz w:val="26"/>
              </w:rPr>
              <w:t>Người làm đơn</w:t>
            </w:r>
            <w:r>
              <w:rPr>
                <w:b/>
                <w:bCs/>
                <w:sz w:val="26"/>
              </w:rPr>
              <w:br/>
            </w:r>
            <w:r>
              <w:rPr>
                <w:sz w:val="26"/>
              </w:rPr>
              <w:t>(Ký tên, đóng dấu)</w:t>
            </w:r>
          </w:p>
        </w:tc>
      </w:tr>
    </w:tbl>
    <w:p w:rsidR="002A7840" w:rsidRPr="00511DFB" w:rsidRDefault="002A7840" w:rsidP="00511DFB"/>
    <w:sectPr w:rsidR="002A7840" w:rsidRPr="00511DFB" w:rsidSect="006D237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74DE0"/>
    <w:rsid w:val="002A7840"/>
    <w:rsid w:val="00511DFB"/>
    <w:rsid w:val="006D2374"/>
    <w:rsid w:val="00C74DE0"/>
    <w:rsid w:val="00D40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E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C74DE0"/>
    <w:rPr>
      <w:rFonts w:ascii="Verdana" w:hAnsi="Verdana" w:cs="Verdana"/>
      <w:szCs w:val="24"/>
    </w:rPr>
  </w:style>
  <w:style w:type="paragraph" w:styleId="NormalWeb">
    <w:name w:val="Normal (Web)"/>
    <w:basedOn w:val="Normal"/>
    <w:link w:val="NormalWebChar"/>
    <w:uiPriority w:val="99"/>
    <w:unhideWhenUsed/>
    <w:rsid w:val="00C74DE0"/>
    <w:pPr>
      <w:spacing w:before="100" w:beforeAutospacing="1" w:after="100" w:afterAutospacing="1"/>
    </w:pPr>
    <w:rPr>
      <w:rFonts w:ascii="Verdana" w:eastAsiaTheme="minorHAnsi" w:hAnsi="Verdana" w:cs="Verdana"/>
      <w:sz w:val="24"/>
      <w:szCs w:val="24"/>
    </w:rPr>
  </w:style>
</w:styles>
</file>

<file path=word/webSettings.xml><?xml version="1.0" encoding="utf-8"?>
<w:webSettings xmlns:r="http://schemas.openxmlformats.org/officeDocument/2006/relationships" xmlns:w="http://schemas.openxmlformats.org/wordprocessingml/2006/main">
  <w:divs>
    <w:div w:id="1531801159">
      <w:bodyDiv w:val="1"/>
      <w:marLeft w:val="0"/>
      <w:marRight w:val="0"/>
      <w:marTop w:val="0"/>
      <w:marBottom w:val="0"/>
      <w:divBdr>
        <w:top w:val="none" w:sz="0" w:space="0" w:color="auto"/>
        <w:left w:val="none" w:sz="0" w:space="0" w:color="auto"/>
        <w:bottom w:val="none" w:sz="0" w:space="0" w:color="auto"/>
        <w:right w:val="none" w:sz="0" w:space="0" w:color="auto"/>
      </w:divBdr>
    </w:div>
    <w:div w:id="18008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7877</Characters>
  <Application>Microsoft Office Word</Application>
  <DocSecurity>0</DocSecurity>
  <Lines>65</Lines>
  <Paragraphs>18</Paragraphs>
  <ScaleCrop>false</ScaleCrop>
  <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2017-08-21T08:13:00Z</dcterms:created>
  <dcterms:modified xsi:type="dcterms:W3CDTF">2017-08-21T08:13:00Z</dcterms:modified>
</cp:coreProperties>
</file>