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2D" w:rsidRDefault="00BD0C2D" w:rsidP="00BD0C2D">
      <w:pPr>
        <w:overflowPunct w:val="0"/>
        <w:autoSpaceDE w:val="0"/>
        <w:autoSpaceDN w:val="0"/>
        <w:adjustRightInd w:val="0"/>
        <w:spacing w:before="80" w:after="80"/>
        <w:jc w:val="both"/>
        <w:textAlignment w:val="baseline"/>
        <w:rPr>
          <w:b/>
          <w:sz w:val="26"/>
          <w:szCs w:val="26"/>
        </w:rPr>
      </w:pPr>
      <w:r>
        <w:rPr>
          <w:b/>
          <w:sz w:val="26"/>
          <w:szCs w:val="26"/>
        </w:rPr>
        <w:t>93. Điều chỉnh Quy hoạch phát triển điện lực tỉnh không theo chu kỳ (đối với điều chỉnh Hợp phần Quy hoạch chi tiết phát triển lưới điện trung và hạ áp sau các trạm 110kV)</w:t>
      </w:r>
    </w:p>
    <w:tbl>
      <w:tblPr>
        <w:tblW w:w="0" w:type="auto"/>
        <w:tblLook w:val="04A0"/>
      </w:tblPr>
      <w:tblGrid>
        <w:gridCol w:w="2660"/>
        <w:gridCol w:w="6520"/>
      </w:tblGrid>
      <w:tr w:rsidR="00BD0C2D" w:rsidTr="00BD0C2D">
        <w:tc>
          <w:tcPr>
            <w:tcW w:w="2660" w:type="dxa"/>
            <w:hideMark/>
          </w:tcPr>
          <w:p w:rsidR="00BD0C2D" w:rsidRDefault="00BD0C2D">
            <w:pPr>
              <w:spacing w:before="120"/>
              <w:rPr>
                <w:sz w:val="26"/>
                <w:szCs w:val="26"/>
              </w:rPr>
            </w:pPr>
            <w:r>
              <w:rPr>
                <w:sz w:val="26"/>
                <w:szCs w:val="26"/>
              </w:rPr>
              <w:t>- Trình tự thực hiện:</w:t>
            </w:r>
          </w:p>
        </w:tc>
        <w:tc>
          <w:tcPr>
            <w:tcW w:w="6520" w:type="dxa"/>
            <w:hideMark/>
          </w:tcPr>
          <w:p w:rsidR="00BD0C2D" w:rsidRDefault="00BD0C2D">
            <w:pPr>
              <w:tabs>
                <w:tab w:val="left" w:pos="284"/>
              </w:tabs>
              <w:spacing w:before="120"/>
              <w:jc w:val="both"/>
              <w:rPr>
                <w:sz w:val="26"/>
                <w:szCs w:val="26"/>
                <w:lang w:val="da-DK"/>
              </w:rPr>
            </w:pPr>
            <w:r>
              <w:rPr>
                <w:i/>
                <w:sz w:val="26"/>
                <w:szCs w:val="26"/>
                <w:lang w:val="da-DK"/>
              </w:rPr>
              <w:t xml:space="preserve">- </w:t>
            </w:r>
            <w:r>
              <w:rPr>
                <w:sz w:val="26"/>
                <w:szCs w:val="26"/>
                <w:lang w:val="da-DK"/>
              </w:rPr>
              <w:t>Chủ đầu tư các dự án (</w:t>
            </w:r>
            <w:r>
              <w:rPr>
                <w:i/>
                <w:sz w:val="26"/>
                <w:szCs w:val="26"/>
                <w:lang w:val="da-DK"/>
              </w:rPr>
              <w:t>Đối với các công trình trạm biến áp trung áp có tổng dung lượng lớn hơn 2.000kVA)</w:t>
            </w:r>
            <w:r>
              <w:rPr>
                <w:sz w:val="26"/>
                <w:szCs w:val="26"/>
                <w:lang w:val="da-DK"/>
              </w:rPr>
              <w:t xml:space="preserve"> có nhu cầu bổ sung, điều chỉnh trong Hợp phần Quy hoạch chi tiết phát triển lưới điện trung và hạ áp sau các trạm 110kV tổ chức lập hồ sơ điều chỉnh quy hoạch và gửi Sở Công Thương </w:t>
            </w:r>
            <w:r>
              <w:rPr>
                <w:i/>
                <w:sz w:val="26"/>
                <w:szCs w:val="26"/>
                <w:lang w:val="da-DK"/>
              </w:rPr>
              <w:t>tỉnh Điện Biên</w:t>
            </w:r>
            <w:r>
              <w:rPr>
                <w:sz w:val="26"/>
                <w:szCs w:val="26"/>
                <w:lang w:val="da-DK"/>
              </w:rPr>
              <w:t xml:space="preserve"> thẩm định, trình Ủy ban nhân dân cấp tỉnh phê duyệt.</w:t>
            </w:r>
          </w:p>
          <w:p w:rsidR="00BD0C2D" w:rsidRDefault="00BD0C2D">
            <w:pPr>
              <w:tabs>
                <w:tab w:val="left" w:pos="284"/>
              </w:tabs>
              <w:spacing w:before="120"/>
              <w:jc w:val="both"/>
              <w:rPr>
                <w:sz w:val="26"/>
                <w:szCs w:val="26"/>
                <w:lang w:val="da-DK"/>
              </w:rPr>
            </w:pPr>
            <w:r>
              <w:rPr>
                <w:sz w:val="26"/>
                <w:szCs w:val="26"/>
                <w:lang w:val="da-DK"/>
              </w:rPr>
              <w:t>- Trong quá trình thẩm định, Sở Công Thương lấy ý kiến bằng văn bản của Công ty Điện lực tỉnh, Ủy ban nhân dân cấp huyện có liên quan (nếu cần thiết).</w:t>
            </w:r>
          </w:p>
          <w:p w:rsidR="00BD0C2D" w:rsidRDefault="00BD0C2D">
            <w:pPr>
              <w:pStyle w:val="NormalWeb"/>
              <w:tabs>
                <w:tab w:val="left" w:pos="720"/>
              </w:tabs>
              <w:spacing w:before="120" w:beforeAutospacing="0" w:after="0" w:afterAutospacing="0"/>
              <w:contextualSpacing/>
              <w:jc w:val="both"/>
              <w:rPr>
                <w:rFonts w:ascii="Times New Roman" w:hAnsi="Times New Roman" w:cs="Times New Roman"/>
                <w:sz w:val="26"/>
                <w:szCs w:val="26"/>
                <w:lang w:val="sv-SE"/>
              </w:rPr>
            </w:pPr>
            <w:r>
              <w:rPr>
                <w:rFonts w:ascii="Times New Roman" w:hAnsi="Times New Roman" w:cs="Times New Roman"/>
                <w:sz w:val="26"/>
                <w:szCs w:val="26"/>
                <w:lang w:val="da-DK"/>
              </w:rPr>
              <w:t>- Trong thời hạn mười (10) ngày làm việc kể từ khi nhận đủ hồ sơ hợp lệ, Sở Công Thương có trách nhiệm hoàn thành thẩm định hồ sơ điều chỉnh Hợp phần quy hoạch trước khi trình Uỷ ban nhân dân cấp tỉnh phê duyệt.</w:t>
            </w:r>
          </w:p>
        </w:tc>
      </w:tr>
      <w:tr w:rsidR="00BD0C2D" w:rsidTr="00BD0C2D">
        <w:tc>
          <w:tcPr>
            <w:tcW w:w="2660" w:type="dxa"/>
            <w:hideMark/>
          </w:tcPr>
          <w:p w:rsidR="00BD0C2D" w:rsidRDefault="00BD0C2D">
            <w:pPr>
              <w:spacing w:before="120"/>
              <w:rPr>
                <w:sz w:val="26"/>
                <w:szCs w:val="26"/>
              </w:rPr>
            </w:pPr>
            <w:r>
              <w:rPr>
                <w:sz w:val="26"/>
                <w:szCs w:val="26"/>
              </w:rPr>
              <w:t>- Cách thức thực hiện:</w:t>
            </w:r>
          </w:p>
        </w:tc>
        <w:tc>
          <w:tcPr>
            <w:tcW w:w="6520" w:type="dxa"/>
            <w:hideMark/>
          </w:tcPr>
          <w:p w:rsidR="00BD0C2D" w:rsidRDefault="00BD0C2D">
            <w:pPr>
              <w:spacing w:before="120"/>
              <w:jc w:val="both"/>
              <w:rPr>
                <w:sz w:val="26"/>
                <w:szCs w:val="26"/>
              </w:rPr>
            </w:pPr>
            <w:r>
              <w:rPr>
                <w:sz w:val="26"/>
                <w:szCs w:val="26"/>
              </w:rPr>
              <w:t>Nộp trực tiếp tại Bộ phận tiếp nhận và trả kết quả thuộc Văn phòng Sở Công Thương tỉnh Điện Biên hoặc qua đường Bưu điện</w:t>
            </w:r>
          </w:p>
        </w:tc>
      </w:tr>
      <w:tr w:rsidR="00BD0C2D" w:rsidTr="00BD0C2D">
        <w:tc>
          <w:tcPr>
            <w:tcW w:w="2660" w:type="dxa"/>
            <w:hideMark/>
          </w:tcPr>
          <w:p w:rsidR="00BD0C2D" w:rsidRDefault="00BD0C2D">
            <w:pPr>
              <w:spacing w:before="120"/>
              <w:rPr>
                <w:sz w:val="26"/>
                <w:szCs w:val="26"/>
              </w:rPr>
            </w:pPr>
            <w:r>
              <w:rPr>
                <w:sz w:val="26"/>
                <w:szCs w:val="26"/>
              </w:rPr>
              <w:t>- Thành phần hồ sơ:</w:t>
            </w:r>
          </w:p>
        </w:tc>
        <w:tc>
          <w:tcPr>
            <w:tcW w:w="6520" w:type="dxa"/>
            <w:hideMark/>
          </w:tcPr>
          <w:p w:rsidR="00BD0C2D" w:rsidRDefault="00BD0C2D">
            <w:pPr>
              <w:tabs>
                <w:tab w:val="left" w:pos="284"/>
              </w:tabs>
              <w:spacing w:before="120"/>
              <w:jc w:val="both"/>
              <w:rPr>
                <w:sz w:val="26"/>
                <w:szCs w:val="26"/>
                <w:lang w:val="da-DK"/>
              </w:rPr>
            </w:pPr>
            <w:r>
              <w:rPr>
                <w:sz w:val="26"/>
                <w:szCs w:val="26"/>
                <w:lang w:val="da-DK"/>
              </w:rPr>
              <w:t>- Tờ trình đề nghị điều chỉnh, bổ sung quy hoạch của Chủ đầu tư.</w:t>
            </w:r>
          </w:p>
          <w:p w:rsidR="00BD0C2D" w:rsidRDefault="00BD0C2D">
            <w:pPr>
              <w:spacing w:before="120"/>
              <w:jc w:val="both"/>
              <w:rPr>
                <w:sz w:val="26"/>
                <w:szCs w:val="26"/>
                <w:lang w:val="da-DK"/>
              </w:rPr>
            </w:pPr>
            <w:r>
              <w:rPr>
                <w:sz w:val="26"/>
                <w:szCs w:val="26"/>
                <w:lang w:val="da-DK"/>
              </w:rPr>
              <w:t>- Báo cáo điều chỉnh Hợp phần quy hoạch (nội dung của Báo cáo được quy định tại Khoản 2 Điều 22 Thông tư 43/2013/TT-BCT)</w:t>
            </w:r>
          </w:p>
        </w:tc>
      </w:tr>
      <w:tr w:rsidR="00BD0C2D" w:rsidTr="00BD0C2D">
        <w:tc>
          <w:tcPr>
            <w:tcW w:w="2660" w:type="dxa"/>
            <w:hideMark/>
          </w:tcPr>
          <w:p w:rsidR="00BD0C2D" w:rsidRDefault="00BD0C2D">
            <w:pPr>
              <w:spacing w:before="120"/>
              <w:rPr>
                <w:sz w:val="26"/>
                <w:szCs w:val="26"/>
              </w:rPr>
            </w:pPr>
            <w:r>
              <w:rPr>
                <w:sz w:val="26"/>
                <w:szCs w:val="26"/>
              </w:rPr>
              <w:t>- Số lượng hồ sơ:</w:t>
            </w:r>
          </w:p>
        </w:tc>
        <w:tc>
          <w:tcPr>
            <w:tcW w:w="6520" w:type="dxa"/>
            <w:hideMark/>
          </w:tcPr>
          <w:p w:rsidR="00BD0C2D" w:rsidRDefault="00BD0C2D">
            <w:pPr>
              <w:spacing w:before="120"/>
              <w:jc w:val="both"/>
              <w:rPr>
                <w:i/>
                <w:sz w:val="26"/>
                <w:szCs w:val="26"/>
              </w:rPr>
            </w:pPr>
            <w:r>
              <w:rPr>
                <w:i/>
                <w:sz w:val="26"/>
                <w:szCs w:val="26"/>
                <w:lang w:val="da-DK"/>
              </w:rPr>
              <w:t>Một (01) bộ (riêng Báo cáo điều chỉnh Hợp phần quy hoạch 05 bộ).</w:t>
            </w:r>
          </w:p>
        </w:tc>
      </w:tr>
      <w:tr w:rsidR="00BD0C2D" w:rsidTr="00BD0C2D">
        <w:tc>
          <w:tcPr>
            <w:tcW w:w="2660" w:type="dxa"/>
            <w:hideMark/>
          </w:tcPr>
          <w:p w:rsidR="00BD0C2D" w:rsidRDefault="00BD0C2D">
            <w:pPr>
              <w:spacing w:before="120"/>
              <w:rPr>
                <w:sz w:val="26"/>
                <w:szCs w:val="26"/>
              </w:rPr>
            </w:pPr>
            <w:r>
              <w:rPr>
                <w:sz w:val="26"/>
                <w:szCs w:val="26"/>
              </w:rPr>
              <w:t>- Thời hạn giải quyết:</w:t>
            </w:r>
          </w:p>
        </w:tc>
        <w:tc>
          <w:tcPr>
            <w:tcW w:w="6520" w:type="dxa"/>
            <w:hideMark/>
          </w:tcPr>
          <w:p w:rsidR="00BD0C2D" w:rsidRDefault="00BD0C2D">
            <w:pPr>
              <w:spacing w:before="120"/>
              <w:jc w:val="both"/>
              <w:rPr>
                <w:sz w:val="26"/>
                <w:szCs w:val="26"/>
              </w:rPr>
            </w:pPr>
            <w:r>
              <w:rPr>
                <w:sz w:val="26"/>
                <w:szCs w:val="26"/>
                <w:lang w:val="da-DK"/>
              </w:rPr>
              <w:t>Mười (10) ngày làm việc kể từ khi nhận đủ hồ sơ hợp lệ, Sở Công Thương có trách nhiệm hoàn thành thẩm định hồ sơ điều chỉnh Hợp phần quy hoạch trước khi trình Uỷ ban nhân dân cấp tỉnh phê duyệt</w:t>
            </w:r>
          </w:p>
        </w:tc>
      </w:tr>
      <w:tr w:rsidR="00BD0C2D" w:rsidTr="00BD0C2D">
        <w:tc>
          <w:tcPr>
            <w:tcW w:w="2660" w:type="dxa"/>
            <w:hideMark/>
          </w:tcPr>
          <w:p w:rsidR="00BD0C2D" w:rsidRDefault="00BD0C2D">
            <w:pPr>
              <w:spacing w:before="120"/>
              <w:rPr>
                <w:sz w:val="26"/>
                <w:szCs w:val="26"/>
              </w:rPr>
            </w:pPr>
            <w:r>
              <w:rPr>
                <w:sz w:val="26"/>
                <w:szCs w:val="26"/>
              </w:rPr>
              <w:t>- Đối tượng thực hiện thủ tục hành chính:</w:t>
            </w:r>
          </w:p>
        </w:tc>
        <w:tc>
          <w:tcPr>
            <w:tcW w:w="6520" w:type="dxa"/>
            <w:hideMark/>
          </w:tcPr>
          <w:p w:rsidR="00BD0C2D" w:rsidRDefault="00BD0C2D">
            <w:pPr>
              <w:spacing w:before="120"/>
              <w:jc w:val="both"/>
              <w:rPr>
                <w:sz w:val="26"/>
                <w:szCs w:val="26"/>
              </w:rPr>
            </w:pPr>
            <w:r>
              <w:rPr>
                <w:sz w:val="26"/>
                <w:szCs w:val="26"/>
                <w:lang w:val="da-DK"/>
              </w:rPr>
              <w:t>Chủ đầu tư các dự án có nhu cầu bổ sung, điều chỉnh trong Hợp phần Quy hoạch chi tiết phát triển lưới điện trung và hạ áp sau các trạm 110kV</w:t>
            </w:r>
          </w:p>
        </w:tc>
      </w:tr>
      <w:tr w:rsidR="00BD0C2D" w:rsidTr="00BD0C2D">
        <w:tc>
          <w:tcPr>
            <w:tcW w:w="2660" w:type="dxa"/>
            <w:hideMark/>
          </w:tcPr>
          <w:p w:rsidR="00BD0C2D" w:rsidRDefault="00BD0C2D">
            <w:pPr>
              <w:spacing w:before="120"/>
              <w:rPr>
                <w:sz w:val="26"/>
                <w:szCs w:val="26"/>
              </w:rPr>
            </w:pPr>
            <w:r>
              <w:rPr>
                <w:sz w:val="26"/>
                <w:szCs w:val="26"/>
              </w:rPr>
              <w:t>- Cơ quan thực hiện thủ tục hành chính:</w:t>
            </w:r>
          </w:p>
        </w:tc>
        <w:tc>
          <w:tcPr>
            <w:tcW w:w="6520" w:type="dxa"/>
            <w:hideMark/>
          </w:tcPr>
          <w:p w:rsidR="00BD0C2D" w:rsidRDefault="00BD0C2D">
            <w:pPr>
              <w:spacing w:before="120"/>
              <w:jc w:val="both"/>
              <w:rPr>
                <w:i/>
                <w:sz w:val="26"/>
              </w:rPr>
            </w:pPr>
            <w:r>
              <w:rPr>
                <w:sz w:val="26"/>
              </w:rPr>
              <w:t>- Cơ quan trực tiếp giải quyết TTHC: Sở</w:t>
            </w:r>
            <w:r>
              <w:rPr>
                <w:sz w:val="26"/>
                <w:lang w:val="vi-VN"/>
              </w:rPr>
              <w:t xml:space="preserve"> Công Thương </w:t>
            </w:r>
            <w:r>
              <w:rPr>
                <w:i/>
                <w:sz w:val="26"/>
              </w:rPr>
              <w:t>tỉnh Điện Biên.</w:t>
            </w:r>
          </w:p>
          <w:p w:rsidR="00BD0C2D" w:rsidRDefault="00BD0C2D">
            <w:pPr>
              <w:spacing w:before="120"/>
              <w:jc w:val="both"/>
              <w:rPr>
                <w:sz w:val="26"/>
                <w:szCs w:val="26"/>
              </w:rPr>
            </w:pPr>
            <w:r>
              <w:rPr>
                <w:sz w:val="26"/>
              </w:rPr>
              <w:t xml:space="preserve">- Cơ quan Quyết định: UBND tỉnh </w:t>
            </w:r>
            <w:r>
              <w:rPr>
                <w:i/>
                <w:sz w:val="26"/>
              </w:rPr>
              <w:t>Điện Biên</w:t>
            </w:r>
            <w:r>
              <w:rPr>
                <w:sz w:val="26"/>
              </w:rPr>
              <w:t>.</w:t>
            </w:r>
          </w:p>
        </w:tc>
      </w:tr>
      <w:tr w:rsidR="00BD0C2D" w:rsidTr="00BD0C2D">
        <w:tc>
          <w:tcPr>
            <w:tcW w:w="2660" w:type="dxa"/>
            <w:hideMark/>
          </w:tcPr>
          <w:p w:rsidR="00BD0C2D" w:rsidRDefault="00BD0C2D">
            <w:pPr>
              <w:spacing w:before="120"/>
              <w:rPr>
                <w:sz w:val="26"/>
                <w:szCs w:val="26"/>
              </w:rPr>
            </w:pPr>
            <w:r>
              <w:rPr>
                <w:sz w:val="26"/>
                <w:szCs w:val="26"/>
              </w:rPr>
              <w:t>- Kết quả thực hiện thủ tục hành chính:</w:t>
            </w:r>
          </w:p>
        </w:tc>
        <w:tc>
          <w:tcPr>
            <w:tcW w:w="6520" w:type="dxa"/>
            <w:hideMark/>
          </w:tcPr>
          <w:p w:rsidR="00BD0C2D" w:rsidRDefault="00BD0C2D">
            <w:pPr>
              <w:spacing w:before="120"/>
              <w:jc w:val="both"/>
              <w:rPr>
                <w:sz w:val="26"/>
                <w:szCs w:val="26"/>
              </w:rPr>
            </w:pPr>
            <w:r>
              <w:rPr>
                <w:sz w:val="26"/>
                <w:szCs w:val="26"/>
                <w:lang w:val="da-DK"/>
              </w:rPr>
              <w:t>Văn bản phê duyệt việc bổ sung, điều chỉnh Quy hoạch phát triển điện lực tỉnh của Chủ tịch Ủy ban nhân dân cấp tỉnh.</w:t>
            </w:r>
          </w:p>
        </w:tc>
      </w:tr>
      <w:tr w:rsidR="00BD0C2D" w:rsidTr="00BD0C2D">
        <w:tc>
          <w:tcPr>
            <w:tcW w:w="2660" w:type="dxa"/>
            <w:hideMark/>
          </w:tcPr>
          <w:p w:rsidR="00BD0C2D" w:rsidRDefault="00BD0C2D">
            <w:pPr>
              <w:spacing w:before="120"/>
              <w:rPr>
                <w:sz w:val="26"/>
                <w:szCs w:val="26"/>
              </w:rPr>
            </w:pPr>
            <w:r>
              <w:rPr>
                <w:sz w:val="26"/>
                <w:szCs w:val="26"/>
              </w:rPr>
              <w:t>- Lệ phí (Nếu có):</w:t>
            </w:r>
          </w:p>
        </w:tc>
        <w:tc>
          <w:tcPr>
            <w:tcW w:w="6520" w:type="dxa"/>
            <w:hideMark/>
          </w:tcPr>
          <w:p w:rsidR="00BD0C2D" w:rsidRDefault="00BD0C2D">
            <w:pPr>
              <w:spacing w:before="120"/>
              <w:jc w:val="both"/>
              <w:rPr>
                <w:sz w:val="26"/>
                <w:szCs w:val="26"/>
              </w:rPr>
            </w:pPr>
            <w:r>
              <w:rPr>
                <w:sz w:val="26"/>
                <w:szCs w:val="26"/>
              </w:rPr>
              <w:t>Không có</w:t>
            </w:r>
          </w:p>
        </w:tc>
      </w:tr>
      <w:tr w:rsidR="00BD0C2D" w:rsidTr="00BD0C2D">
        <w:tc>
          <w:tcPr>
            <w:tcW w:w="2660" w:type="dxa"/>
            <w:hideMark/>
          </w:tcPr>
          <w:p w:rsidR="00BD0C2D" w:rsidRDefault="00BD0C2D">
            <w:pPr>
              <w:spacing w:before="120"/>
              <w:rPr>
                <w:sz w:val="26"/>
                <w:szCs w:val="26"/>
              </w:rPr>
            </w:pPr>
            <w:r>
              <w:rPr>
                <w:sz w:val="26"/>
                <w:szCs w:val="26"/>
              </w:rPr>
              <w:lastRenderedPageBreak/>
              <w:t xml:space="preserve">- Tên mẫu đơn, mẫu tờ khai </w:t>
            </w:r>
          </w:p>
        </w:tc>
        <w:tc>
          <w:tcPr>
            <w:tcW w:w="6520" w:type="dxa"/>
            <w:hideMark/>
          </w:tcPr>
          <w:p w:rsidR="00BD0C2D" w:rsidRDefault="00BD0C2D">
            <w:pPr>
              <w:spacing w:before="120"/>
              <w:jc w:val="both"/>
              <w:rPr>
                <w:sz w:val="26"/>
                <w:szCs w:val="26"/>
              </w:rPr>
            </w:pPr>
            <w:r>
              <w:rPr>
                <w:sz w:val="26"/>
                <w:szCs w:val="26"/>
              </w:rPr>
              <w:t>Không có</w:t>
            </w:r>
          </w:p>
        </w:tc>
      </w:tr>
      <w:tr w:rsidR="00BD0C2D" w:rsidTr="00BD0C2D">
        <w:tc>
          <w:tcPr>
            <w:tcW w:w="2660" w:type="dxa"/>
            <w:hideMark/>
          </w:tcPr>
          <w:p w:rsidR="00BD0C2D" w:rsidRDefault="00BD0C2D">
            <w:pPr>
              <w:spacing w:before="120"/>
              <w:rPr>
                <w:sz w:val="26"/>
                <w:szCs w:val="26"/>
              </w:rPr>
            </w:pPr>
            <w:r>
              <w:rPr>
                <w:sz w:val="26"/>
                <w:szCs w:val="26"/>
              </w:rPr>
              <w:t>- Yêu cầu, điều kiện để thực hiện thủ tục hành chính:</w:t>
            </w:r>
          </w:p>
        </w:tc>
        <w:tc>
          <w:tcPr>
            <w:tcW w:w="6520" w:type="dxa"/>
            <w:hideMark/>
          </w:tcPr>
          <w:p w:rsidR="00BD0C2D" w:rsidRDefault="00BD0C2D">
            <w:pPr>
              <w:spacing w:before="120"/>
              <w:jc w:val="both"/>
              <w:rPr>
                <w:sz w:val="26"/>
                <w:szCs w:val="26"/>
              </w:rPr>
            </w:pPr>
            <w:r>
              <w:rPr>
                <w:sz w:val="26"/>
                <w:szCs w:val="26"/>
              </w:rPr>
              <w:t>Không có</w:t>
            </w:r>
          </w:p>
        </w:tc>
      </w:tr>
      <w:tr w:rsidR="00BD0C2D" w:rsidTr="00BD0C2D">
        <w:tc>
          <w:tcPr>
            <w:tcW w:w="2660" w:type="dxa"/>
            <w:hideMark/>
          </w:tcPr>
          <w:p w:rsidR="00BD0C2D" w:rsidRDefault="00BD0C2D">
            <w:pPr>
              <w:spacing w:before="120"/>
              <w:rPr>
                <w:sz w:val="26"/>
                <w:szCs w:val="26"/>
              </w:rPr>
            </w:pPr>
            <w:r>
              <w:rPr>
                <w:sz w:val="26"/>
                <w:szCs w:val="26"/>
              </w:rPr>
              <w:t>- Căn cứ pháp lý của thủ tục hành chính:</w:t>
            </w:r>
          </w:p>
        </w:tc>
        <w:tc>
          <w:tcPr>
            <w:tcW w:w="6520" w:type="dxa"/>
            <w:hideMark/>
          </w:tcPr>
          <w:p w:rsidR="00BD0C2D" w:rsidRDefault="00BD0C2D">
            <w:pPr>
              <w:tabs>
                <w:tab w:val="left" w:pos="284"/>
              </w:tabs>
              <w:spacing w:before="120"/>
              <w:jc w:val="both"/>
              <w:rPr>
                <w:sz w:val="26"/>
                <w:lang w:val="da-DK"/>
              </w:rPr>
            </w:pPr>
            <w:r>
              <w:rPr>
                <w:sz w:val="26"/>
                <w:lang w:val="da-DK"/>
              </w:rPr>
              <w:t xml:space="preserve">- Thông tư 43/2013/TT-BCT của Bộ Công Thương về việc quy định nội dung, trình tự, thủ tục lập, thẩm định, phê duyệt và điều chỉnh quy hoạch phát triển điện lực; </w:t>
            </w:r>
          </w:p>
          <w:p w:rsidR="00BD0C2D" w:rsidRDefault="00BD0C2D">
            <w:pPr>
              <w:spacing w:before="120"/>
              <w:jc w:val="both"/>
              <w:rPr>
                <w:sz w:val="26"/>
                <w:szCs w:val="26"/>
                <w:lang w:val="da-DK"/>
              </w:rPr>
            </w:pPr>
            <w:r>
              <w:rPr>
                <w:lang w:val="da-DK"/>
              </w:rPr>
              <w:t xml:space="preserve">- </w:t>
            </w:r>
            <w:r>
              <w:rPr>
                <w:rFonts w:eastAsia="Calibri"/>
                <w:i/>
                <w:sz w:val="26"/>
                <w:szCs w:val="26"/>
                <w:lang w:val="da-DK"/>
              </w:rPr>
              <w:t>Thông tư số 24/2016/TT-BCT ngày 30/11/2016 của Bộ Công Thương Quy định một số nội dung về rút ngắn thời gian tiếp cận điện năng.</w:t>
            </w:r>
          </w:p>
        </w:tc>
      </w:tr>
    </w:tbl>
    <w:p w:rsidR="00BD0C2D" w:rsidRDefault="00BD0C2D" w:rsidP="00BD0C2D">
      <w:pPr>
        <w:overflowPunct w:val="0"/>
        <w:autoSpaceDE w:val="0"/>
        <w:autoSpaceDN w:val="0"/>
        <w:adjustRightInd w:val="0"/>
        <w:spacing w:before="80" w:after="80"/>
        <w:jc w:val="both"/>
        <w:textAlignment w:val="baseline"/>
        <w:rPr>
          <w:b/>
          <w:i/>
          <w:sz w:val="26"/>
          <w:szCs w:val="26"/>
          <w:lang w:val="da-DK"/>
        </w:rPr>
      </w:pPr>
    </w:p>
    <w:p w:rsidR="00BD0C2D" w:rsidRDefault="00BD0C2D" w:rsidP="00BD0C2D">
      <w:pPr>
        <w:overflowPunct w:val="0"/>
        <w:autoSpaceDE w:val="0"/>
        <w:autoSpaceDN w:val="0"/>
        <w:adjustRightInd w:val="0"/>
        <w:spacing w:before="80" w:after="80"/>
        <w:jc w:val="both"/>
        <w:textAlignment w:val="baseline"/>
        <w:rPr>
          <w:sz w:val="26"/>
          <w:szCs w:val="26"/>
          <w:lang w:val="da-DK"/>
        </w:rPr>
      </w:pPr>
      <w:r>
        <w:rPr>
          <w:b/>
          <w:i/>
          <w:sz w:val="26"/>
          <w:szCs w:val="26"/>
          <w:lang w:val="da-DK"/>
        </w:rPr>
        <w:t>Ghi chú: Phần in nghiêng là nội dung sửa đổi, bổ sung, thay thế.</w:t>
      </w:r>
    </w:p>
    <w:p w:rsidR="002A7840" w:rsidRPr="00BD0C2D" w:rsidRDefault="002A7840" w:rsidP="00BD0C2D"/>
    <w:sectPr w:rsidR="002A7840" w:rsidRPr="00BD0C2D" w:rsidSect="00EB57B2">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03A" w:rsidRDefault="0058403A" w:rsidP="00B57B22">
      <w:r>
        <w:separator/>
      </w:r>
    </w:p>
  </w:endnote>
  <w:endnote w:type="continuationSeparator" w:id="1">
    <w:p w:rsidR="0058403A" w:rsidRDefault="0058403A" w:rsidP="00B57B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03A" w:rsidRDefault="0058403A" w:rsidP="00B57B22">
      <w:r>
        <w:separator/>
      </w:r>
    </w:p>
  </w:footnote>
  <w:footnote w:type="continuationSeparator" w:id="1">
    <w:p w:rsidR="0058403A" w:rsidRDefault="0058403A" w:rsidP="00B57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E7093"/>
    <w:multiLevelType w:val="hybridMultilevel"/>
    <w:tmpl w:val="0388B360"/>
    <w:lvl w:ilvl="0" w:tplc="7ABA9714">
      <w:start w:val="1"/>
      <w:numFmt w:val="bullet"/>
      <w:lvlText w:val=""/>
      <w:lvlJc w:val="left"/>
      <w:pPr>
        <w:ind w:left="1004" w:hanging="360"/>
      </w:pPr>
      <w:rPr>
        <w:rFonts w:ascii="Symbol" w:hAnsi="Symbol" w:hint="default"/>
      </w:rPr>
    </w:lvl>
    <w:lvl w:ilvl="1" w:tplc="04090005">
      <w:start w:val="1"/>
      <w:numFmt w:val="bullet"/>
      <w:lvlText w:val=""/>
      <w:lvlJc w:val="left"/>
      <w:pPr>
        <w:ind w:left="1724"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96D17DB"/>
    <w:multiLevelType w:val="hybridMultilevel"/>
    <w:tmpl w:val="A0C89B7C"/>
    <w:lvl w:ilvl="0" w:tplc="7ABA9714">
      <w:start w:val="1"/>
      <w:numFmt w:val="bullet"/>
      <w:lvlText w:val=""/>
      <w:lvlJc w:val="left"/>
      <w:pPr>
        <w:ind w:left="1004" w:hanging="360"/>
      </w:pPr>
      <w:rPr>
        <w:rFonts w:ascii="Symbol" w:hAnsi="Symbol" w:hint="default"/>
      </w:rPr>
    </w:lvl>
    <w:lvl w:ilvl="1" w:tplc="04090005">
      <w:start w:val="1"/>
      <w:numFmt w:val="bullet"/>
      <w:lvlText w:val=""/>
      <w:lvlJc w:val="left"/>
      <w:pPr>
        <w:ind w:left="1724"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74DE0"/>
    <w:rsid w:val="00013964"/>
    <w:rsid w:val="00021573"/>
    <w:rsid w:val="000B50BC"/>
    <w:rsid w:val="0016752F"/>
    <w:rsid w:val="001F0F61"/>
    <w:rsid w:val="0025418B"/>
    <w:rsid w:val="00282CD9"/>
    <w:rsid w:val="002A7840"/>
    <w:rsid w:val="0030115A"/>
    <w:rsid w:val="004248E5"/>
    <w:rsid w:val="00511DFB"/>
    <w:rsid w:val="0058403A"/>
    <w:rsid w:val="005D5914"/>
    <w:rsid w:val="006C0AED"/>
    <w:rsid w:val="006D2374"/>
    <w:rsid w:val="00806208"/>
    <w:rsid w:val="00873151"/>
    <w:rsid w:val="00A26F61"/>
    <w:rsid w:val="00A42B17"/>
    <w:rsid w:val="00A43B1D"/>
    <w:rsid w:val="00A91A27"/>
    <w:rsid w:val="00AC036C"/>
    <w:rsid w:val="00AE457B"/>
    <w:rsid w:val="00B36D1E"/>
    <w:rsid w:val="00B57B22"/>
    <w:rsid w:val="00B94BA8"/>
    <w:rsid w:val="00BD0C2D"/>
    <w:rsid w:val="00BE7164"/>
    <w:rsid w:val="00C74DE0"/>
    <w:rsid w:val="00CB7824"/>
    <w:rsid w:val="00CC5143"/>
    <w:rsid w:val="00CD7EDB"/>
    <w:rsid w:val="00CE230E"/>
    <w:rsid w:val="00D4019B"/>
    <w:rsid w:val="00DD2724"/>
    <w:rsid w:val="00EB57B2"/>
    <w:rsid w:val="00F86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E0"/>
    <w:pPr>
      <w:spacing w:after="0" w:line="240" w:lineRule="auto"/>
    </w:pPr>
    <w:rPr>
      <w:rFonts w:eastAsia="Times New Roman" w:cs="Times New Roman"/>
      <w:sz w:val="28"/>
      <w:szCs w:val="28"/>
    </w:rPr>
  </w:style>
  <w:style w:type="paragraph" w:styleId="Heading3">
    <w:name w:val="heading 3"/>
    <w:basedOn w:val="Normal"/>
    <w:next w:val="Normal"/>
    <w:link w:val="Heading3Char"/>
    <w:semiHidden/>
    <w:unhideWhenUsed/>
    <w:qFormat/>
    <w:rsid w:val="00A43B1D"/>
    <w:pPr>
      <w:keepNext/>
      <w:autoSpaceDE w:val="0"/>
      <w:autoSpaceDN w:val="0"/>
      <w:outlineLvl w:val="2"/>
    </w:pPr>
    <w:rPr>
      <w:rFonts w:ascii=".VnTime" w:hAnsi=".VnTime" w:cs=".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C74DE0"/>
    <w:rPr>
      <w:rFonts w:ascii="Verdana" w:hAnsi="Verdana" w:cs="Verdana"/>
      <w:szCs w:val="24"/>
    </w:rPr>
  </w:style>
  <w:style w:type="paragraph" w:styleId="NormalWeb">
    <w:name w:val="Normal (Web)"/>
    <w:basedOn w:val="Normal"/>
    <w:link w:val="NormalWebChar"/>
    <w:uiPriority w:val="99"/>
    <w:unhideWhenUsed/>
    <w:rsid w:val="00C74DE0"/>
    <w:pPr>
      <w:spacing w:before="100" w:beforeAutospacing="1" w:after="100" w:afterAutospacing="1"/>
    </w:pPr>
    <w:rPr>
      <w:rFonts w:ascii="Verdana" w:eastAsiaTheme="minorHAnsi" w:hAnsi="Verdana" w:cs="Verdana"/>
      <w:sz w:val="24"/>
      <w:szCs w:val="24"/>
    </w:rPr>
  </w:style>
  <w:style w:type="paragraph" w:styleId="BodyTextIndent2">
    <w:name w:val="Body Text Indent 2"/>
    <w:basedOn w:val="Normal"/>
    <w:link w:val="BodyTextIndent2Char"/>
    <w:uiPriority w:val="99"/>
    <w:semiHidden/>
    <w:unhideWhenUsed/>
    <w:rsid w:val="00AE457B"/>
    <w:pPr>
      <w:spacing w:after="120" w:line="480" w:lineRule="auto"/>
      <w:ind w:left="360"/>
    </w:pPr>
  </w:style>
  <w:style w:type="character" w:customStyle="1" w:styleId="BodyTextIndent2Char">
    <w:name w:val="Body Text Indent 2 Char"/>
    <w:basedOn w:val="DefaultParagraphFont"/>
    <w:link w:val="BodyTextIndent2"/>
    <w:uiPriority w:val="99"/>
    <w:semiHidden/>
    <w:rsid w:val="00AE457B"/>
    <w:rPr>
      <w:rFonts w:eastAsia="Times New Roman" w:cs="Times New Roman"/>
      <w:sz w:val="28"/>
      <w:szCs w:val="28"/>
    </w:rPr>
  </w:style>
  <w:style w:type="paragraph" w:styleId="ListParagraph">
    <w:name w:val="List Paragraph"/>
    <w:basedOn w:val="Normal"/>
    <w:uiPriority w:val="34"/>
    <w:qFormat/>
    <w:rsid w:val="00873151"/>
    <w:pPr>
      <w:spacing w:after="200" w:line="276" w:lineRule="auto"/>
      <w:ind w:left="720"/>
    </w:pPr>
    <w:rPr>
      <w:rFonts w:ascii="Calibri" w:hAnsi="Calibri"/>
      <w:sz w:val="22"/>
      <w:szCs w:val="22"/>
    </w:rPr>
  </w:style>
  <w:style w:type="paragraph" w:customStyle="1" w:styleId="Default">
    <w:name w:val="Default"/>
    <w:uiPriority w:val="99"/>
    <w:rsid w:val="00873151"/>
    <w:pPr>
      <w:autoSpaceDE w:val="0"/>
      <w:autoSpaceDN w:val="0"/>
      <w:adjustRightInd w:val="0"/>
      <w:spacing w:after="0" w:line="240" w:lineRule="auto"/>
    </w:pPr>
    <w:rPr>
      <w:rFonts w:eastAsia="Times New Roman" w:cs="Times New Roman"/>
      <w:color w:val="000000"/>
      <w:szCs w:val="24"/>
    </w:rPr>
  </w:style>
  <w:style w:type="paragraph" w:styleId="BodyTextIndent">
    <w:name w:val="Body Text Indent"/>
    <w:basedOn w:val="Normal"/>
    <w:link w:val="BodyTextIndentChar"/>
    <w:uiPriority w:val="99"/>
    <w:semiHidden/>
    <w:unhideWhenUsed/>
    <w:rsid w:val="00AC036C"/>
    <w:pPr>
      <w:spacing w:after="120"/>
      <w:ind w:left="360"/>
    </w:pPr>
  </w:style>
  <w:style w:type="character" w:customStyle="1" w:styleId="BodyTextIndentChar">
    <w:name w:val="Body Text Indent Char"/>
    <w:basedOn w:val="DefaultParagraphFont"/>
    <w:link w:val="BodyTextIndent"/>
    <w:uiPriority w:val="99"/>
    <w:semiHidden/>
    <w:rsid w:val="00AC036C"/>
    <w:rPr>
      <w:rFonts w:eastAsia="Times New Roman" w:cs="Times New Roman"/>
      <w:sz w:val="28"/>
      <w:szCs w:val="28"/>
    </w:rPr>
  </w:style>
  <w:style w:type="paragraph" w:styleId="FootnoteText">
    <w:name w:val="footnote text"/>
    <w:basedOn w:val="Normal"/>
    <w:link w:val="FootnoteTextChar"/>
    <w:uiPriority w:val="99"/>
    <w:semiHidden/>
    <w:unhideWhenUsed/>
    <w:rsid w:val="00B57B22"/>
    <w:rPr>
      <w:rFonts w:ascii=".VnTime" w:hAnsi=".VnTime" w:cs=".VnTime"/>
      <w:sz w:val="20"/>
      <w:szCs w:val="20"/>
    </w:rPr>
  </w:style>
  <w:style w:type="character" w:customStyle="1" w:styleId="FootnoteTextChar">
    <w:name w:val="Footnote Text Char"/>
    <w:basedOn w:val="DefaultParagraphFont"/>
    <w:link w:val="FootnoteText"/>
    <w:uiPriority w:val="99"/>
    <w:semiHidden/>
    <w:rsid w:val="00B57B22"/>
    <w:rPr>
      <w:rFonts w:ascii=".VnTime" w:eastAsia="Times New Roman" w:hAnsi=".VnTime" w:cs=".VnTime"/>
      <w:sz w:val="20"/>
      <w:szCs w:val="20"/>
    </w:rPr>
  </w:style>
  <w:style w:type="character" w:styleId="FootnoteReference">
    <w:name w:val="footnote reference"/>
    <w:basedOn w:val="DefaultParagraphFont"/>
    <w:semiHidden/>
    <w:unhideWhenUsed/>
    <w:rsid w:val="00B57B22"/>
    <w:rPr>
      <w:vertAlign w:val="superscript"/>
    </w:rPr>
  </w:style>
  <w:style w:type="paragraph" w:styleId="BodyTextIndent3">
    <w:name w:val="Body Text Indent 3"/>
    <w:basedOn w:val="Normal"/>
    <w:link w:val="BodyTextIndent3Char"/>
    <w:uiPriority w:val="99"/>
    <w:unhideWhenUsed/>
    <w:rsid w:val="0030115A"/>
    <w:pPr>
      <w:spacing w:after="120"/>
      <w:ind w:left="360"/>
    </w:pPr>
    <w:rPr>
      <w:sz w:val="16"/>
      <w:szCs w:val="16"/>
    </w:rPr>
  </w:style>
  <w:style w:type="character" w:customStyle="1" w:styleId="BodyTextIndent3Char">
    <w:name w:val="Body Text Indent 3 Char"/>
    <w:basedOn w:val="DefaultParagraphFont"/>
    <w:link w:val="BodyTextIndent3"/>
    <w:uiPriority w:val="99"/>
    <w:rsid w:val="0030115A"/>
    <w:rPr>
      <w:rFonts w:eastAsia="Times New Roman" w:cs="Times New Roman"/>
      <w:sz w:val="16"/>
      <w:szCs w:val="16"/>
    </w:rPr>
  </w:style>
  <w:style w:type="character" w:customStyle="1" w:styleId="Heading3Char">
    <w:name w:val="Heading 3 Char"/>
    <w:basedOn w:val="DefaultParagraphFont"/>
    <w:link w:val="Heading3"/>
    <w:semiHidden/>
    <w:rsid w:val="00A43B1D"/>
    <w:rPr>
      <w:rFonts w:ascii=".VnTime" w:eastAsia="Times New Roman" w:hAnsi=".VnTime" w:cs=".VnTime"/>
      <w:b/>
      <w:bCs/>
      <w:sz w:val="28"/>
      <w:szCs w:val="28"/>
    </w:rPr>
  </w:style>
  <w:style w:type="character" w:customStyle="1" w:styleId="normal-h1">
    <w:name w:val="normal-h1"/>
    <w:basedOn w:val="DefaultParagraphFont"/>
    <w:rsid w:val="00DD2724"/>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94518318">
      <w:bodyDiv w:val="1"/>
      <w:marLeft w:val="0"/>
      <w:marRight w:val="0"/>
      <w:marTop w:val="0"/>
      <w:marBottom w:val="0"/>
      <w:divBdr>
        <w:top w:val="none" w:sz="0" w:space="0" w:color="auto"/>
        <w:left w:val="none" w:sz="0" w:space="0" w:color="auto"/>
        <w:bottom w:val="none" w:sz="0" w:space="0" w:color="auto"/>
        <w:right w:val="none" w:sz="0" w:space="0" w:color="auto"/>
      </w:divBdr>
    </w:div>
    <w:div w:id="216550976">
      <w:bodyDiv w:val="1"/>
      <w:marLeft w:val="0"/>
      <w:marRight w:val="0"/>
      <w:marTop w:val="0"/>
      <w:marBottom w:val="0"/>
      <w:divBdr>
        <w:top w:val="none" w:sz="0" w:space="0" w:color="auto"/>
        <w:left w:val="none" w:sz="0" w:space="0" w:color="auto"/>
        <w:bottom w:val="none" w:sz="0" w:space="0" w:color="auto"/>
        <w:right w:val="none" w:sz="0" w:space="0" w:color="auto"/>
      </w:divBdr>
    </w:div>
    <w:div w:id="337316066">
      <w:bodyDiv w:val="1"/>
      <w:marLeft w:val="0"/>
      <w:marRight w:val="0"/>
      <w:marTop w:val="0"/>
      <w:marBottom w:val="0"/>
      <w:divBdr>
        <w:top w:val="none" w:sz="0" w:space="0" w:color="auto"/>
        <w:left w:val="none" w:sz="0" w:space="0" w:color="auto"/>
        <w:bottom w:val="none" w:sz="0" w:space="0" w:color="auto"/>
        <w:right w:val="none" w:sz="0" w:space="0" w:color="auto"/>
      </w:divBdr>
    </w:div>
    <w:div w:id="431894948">
      <w:bodyDiv w:val="1"/>
      <w:marLeft w:val="0"/>
      <w:marRight w:val="0"/>
      <w:marTop w:val="0"/>
      <w:marBottom w:val="0"/>
      <w:divBdr>
        <w:top w:val="none" w:sz="0" w:space="0" w:color="auto"/>
        <w:left w:val="none" w:sz="0" w:space="0" w:color="auto"/>
        <w:bottom w:val="none" w:sz="0" w:space="0" w:color="auto"/>
        <w:right w:val="none" w:sz="0" w:space="0" w:color="auto"/>
      </w:divBdr>
    </w:div>
    <w:div w:id="505436709">
      <w:bodyDiv w:val="1"/>
      <w:marLeft w:val="0"/>
      <w:marRight w:val="0"/>
      <w:marTop w:val="0"/>
      <w:marBottom w:val="0"/>
      <w:divBdr>
        <w:top w:val="none" w:sz="0" w:space="0" w:color="auto"/>
        <w:left w:val="none" w:sz="0" w:space="0" w:color="auto"/>
        <w:bottom w:val="none" w:sz="0" w:space="0" w:color="auto"/>
        <w:right w:val="none" w:sz="0" w:space="0" w:color="auto"/>
      </w:divBdr>
    </w:div>
    <w:div w:id="559705483">
      <w:bodyDiv w:val="1"/>
      <w:marLeft w:val="0"/>
      <w:marRight w:val="0"/>
      <w:marTop w:val="0"/>
      <w:marBottom w:val="0"/>
      <w:divBdr>
        <w:top w:val="none" w:sz="0" w:space="0" w:color="auto"/>
        <w:left w:val="none" w:sz="0" w:space="0" w:color="auto"/>
        <w:bottom w:val="none" w:sz="0" w:space="0" w:color="auto"/>
        <w:right w:val="none" w:sz="0" w:space="0" w:color="auto"/>
      </w:divBdr>
    </w:div>
    <w:div w:id="561714118">
      <w:bodyDiv w:val="1"/>
      <w:marLeft w:val="0"/>
      <w:marRight w:val="0"/>
      <w:marTop w:val="0"/>
      <w:marBottom w:val="0"/>
      <w:divBdr>
        <w:top w:val="none" w:sz="0" w:space="0" w:color="auto"/>
        <w:left w:val="none" w:sz="0" w:space="0" w:color="auto"/>
        <w:bottom w:val="none" w:sz="0" w:space="0" w:color="auto"/>
        <w:right w:val="none" w:sz="0" w:space="0" w:color="auto"/>
      </w:divBdr>
    </w:div>
    <w:div w:id="736318383">
      <w:bodyDiv w:val="1"/>
      <w:marLeft w:val="0"/>
      <w:marRight w:val="0"/>
      <w:marTop w:val="0"/>
      <w:marBottom w:val="0"/>
      <w:divBdr>
        <w:top w:val="none" w:sz="0" w:space="0" w:color="auto"/>
        <w:left w:val="none" w:sz="0" w:space="0" w:color="auto"/>
        <w:bottom w:val="none" w:sz="0" w:space="0" w:color="auto"/>
        <w:right w:val="none" w:sz="0" w:space="0" w:color="auto"/>
      </w:divBdr>
    </w:div>
    <w:div w:id="845437874">
      <w:bodyDiv w:val="1"/>
      <w:marLeft w:val="0"/>
      <w:marRight w:val="0"/>
      <w:marTop w:val="0"/>
      <w:marBottom w:val="0"/>
      <w:divBdr>
        <w:top w:val="none" w:sz="0" w:space="0" w:color="auto"/>
        <w:left w:val="none" w:sz="0" w:space="0" w:color="auto"/>
        <w:bottom w:val="none" w:sz="0" w:space="0" w:color="auto"/>
        <w:right w:val="none" w:sz="0" w:space="0" w:color="auto"/>
      </w:divBdr>
    </w:div>
    <w:div w:id="892347607">
      <w:bodyDiv w:val="1"/>
      <w:marLeft w:val="0"/>
      <w:marRight w:val="0"/>
      <w:marTop w:val="0"/>
      <w:marBottom w:val="0"/>
      <w:divBdr>
        <w:top w:val="none" w:sz="0" w:space="0" w:color="auto"/>
        <w:left w:val="none" w:sz="0" w:space="0" w:color="auto"/>
        <w:bottom w:val="none" w:sz="0" w:space="0" w:color="auto"/>
        <w:right w:val="none" w:sz="0" w:space="0" w:color="auto"/>
      </w:divBdr>
    </w:div>
    <w:div w:id="952400817">
      <w:bodyDiv w:val="1"/>
      <w:marLeft w:val="0"/>
      <w:marRight w:val="0"/>
      <w:marTop w:val="0"/>
      <w:marBottom w:val="0"/>
      <w:divBdr>
        <w:top w:val="none" w:sz="0" w:space="0" w:color="auto"/>
        <w:left w:val="none" w:sz="0" w:space="0" w:color="auto"/>
        <w:bottom w:val="none" w:sz="0" w:space="0" w:color="auto"/>
        <w:right w:val="none" w:sz="0" w:space="0" w:color="auto"/>
      </w:divBdr>
    </w:div>
    <w:div w:id="1014501118">
      <w:bodyDiv w:val="1"/>
      <w:marLeft w:val="0"/>
      <w:marRight w:val="0"/>
      <w:marTop w:val="0"/>
      <w:marBottom w:val="0"/>
      <w:divBdr>
        <w:top w:val="none" w:sz="0" w:space="0" w:color="auto"/>
        <w:left w:val="none" w:sz="0" w:space="0" w:color="auto"/>
        <w:bottom w:val="none" w:sz="0" w:space="0" w:color="auto"/>
        <w:right w:val="none" w:sz="0" w:space="0" w:color="auto"/>
      </w:divBdr>
    </w:div>
    <w:div w:id="1214123282">
      <w:bodyDiv w:val="1"/>
      <w:marLeft w:val="0"/>
      <w:marRight w:val="0"/>
      <w:marTop w:val="0"/>
      <w:marBottom w:val="0"/>
      <w:divBdr>
        <w:top w:val="none" w:sz="0" w:space="0" w:color="auto"/>
        <w:left w:val="none" w:sz="0" w:space="0" w:color="auto"/>
        <w:bottom w:val="none" w:sz="0" w:space="0" w:color="auto"/>
        <w:right w:val="none" w:sz="0" w:space="0" w:color="auto"/>
      </w:divBdr>
    </w:div>
    <w:div w:id="1225528936">
      <w:bodyDiv w:val="1"/>
      <w:marLeft w:val="0"/>
      <w:marRight w:val="0"/>
      <w:marTop w:val="0"/>
      <w:marBottom w:val="0"/>
      <w:divBdr>
        <w:top w:val="none" w:sz="0" w:space="0" w:color="auto"/>
        <w:left w:val="none" w:sz="0" w:space="0" w:color="auto"/>
        <w:bottom w:val="none" w:sz="0" w:space="0" w:color="auto"/>
        <w:right w:val="none" w:sz="0" w:space="0" w:color="auto"/>
      </w:divBdr>
    </w:div>
    <w:div w:id="1367876634">
      <w:bodyDiv w:val="1"/>
      <w:marLeft w:val="0"/>
      <w:marRight w:val="0"/>
      <w:marTop w:val="0"/>
      <w:marBottom w:val="0"/>
      <w:divBdr>
        <w:top w:val="none" w:sz="0" w:space="0" w:color="auto"/>
        <w:left w:val="none" w:sz="0" w:space="0" w:color="auto"/>
        <w:bottom w:val="none" w:sz="0" w:space="0" w:color="auto"/>
        <w:right w:val="none" w:sz="0" w:space="0" w:color="auto"/>
      </w:divBdr>
    </w:div>
    <w:div w:id="1374309070">
      <w:bodyDiv w:val="1"/>
      <w:marLeft w:val="0"/>
      <w:marRight w:val="0"/>
      <w:marTop w:val="0"/>
      <w:marBottom w:val="0"/>
      <w:divBdr>
        <w:top w:val="none" w:sz="0" w:space="0" w:color="auto"/>
        <w:left w:val="none" w:sz="0" w:space="0" w:color="auto"/>
        <w:bottom w:val="none" w:sz="0" w:space="0" w:color="auto"/>
        <w:right w:val="none" w:sz="0" w:space="0" w:color="auto"/>
      </w:divBdr>
    </w:div>
    <w:div w:id="1430735915">
      <w:bodyDiv w:val="1"/>
      <w:marLeft w:val="0"/>
      <w:marRight w:val="0"/>
      <w:marTop w:val="0"/>
      <w:marBottom w:val="0"/>
      <w:divBdr>
        <w:top w:val="none" w:sz="0" w:space="0" w:color="auto"/>
        <w:left w:val="none" w:sz="0" w:space="0" w:color="auto"/>
        <w:bottom w:val="none" w:sz="0" w:space="0" w:color="auto"/>
        <w:right w:val="none" w:sz="0" w:space="0" w:color="auto"/>
      </w:divBdr>
    </w:div>
    <w:div w:id="1504274870">
      <w:bodyDiv w:val="1"/>
      <w:marLeft w:val="0"/>
      <w:marRight w:val="0"/>
      <w:marTop w:val="0"/>
      <w:marBottom w:val="0"/>
      <w:divBdr>
        <w:top w:val="none" w:sz="0" w:space="0" w:color="auto"/>
        <w:left w:val="none" w:sz="0" w:space="0" w:color="auto"/>
        <w:bottom w:val="none" w:sz="0" w:space="0" w:color="auto"/>
        <w:right w:val="none" w:sz="0" w:space="0" w:color="auto"/>
      </w:divBdr>
    </w:div>
    <w:div w:id="1508903860">
      <w:bodyDiv w:val="1"/>
      <w:marLeft w:val="0"/>
      <w:marRight w:val="0"/>
      <w:marTop w:val="0"/>
      <w:marBottom w:val="0"/>
      <w:divBdr>
        <w:top w:val="none" w:sz="0" w:space="0" w:color="auto"/>
        <w:left w:val="none" w:sz="0" w:space="0" w:color="auto"/>
        <w:bottom w:val="none" w:sz="0" w:space="0" w:color="auto"/>
        <w:right w:val="none" w:sz="0" w:space="0" w:color="auto"/>
      </w:divBdr>
    </w:div>
    <w:div w:id="1531801159">
      <w:bodyDiv w:val="1"/>
      <w:marLeft w:val="0"/>
      <w:marRight w:val="0"/>
      <w:marTop w:val="0"/>
      <w:marBottom w:val="0"/>
      <w:divBdr>
        <w:top w:val="none" w:sz="0" w:space="0" w:color="auto"/>
        <w:left w:val="none" w:sz="0" w:space="0" w:color="auto"/>
        <w:bottom w:val="none" w:sz="0" w:space="0" w:color="auto"/>
        <w:right w:val="none" w:sz="0" w:space="0" w:color="auto"/>
      </w:divBdr>
    </w:div>
    <w:div w:id="1544707048">
      <w:bodyDiv w:val="1"/>
      <w:marLeft w:val="0"/>
      <w:marRight w:val="0"/>
      <w:marTop w:val="0"/>
      <w:marBottom w:val="0"/>
      <w:divBdr>
        <w:top w:val="none" w:sz="0" w:space="0" w:color="auto"/>
        <w:left w:val="none" w:sz="0" w:space="0" w:color="auto"/>
        <w:bottom w:val="none" w:sz="0" w:space="0" w:color="auto"/>
        <w:right w:val="none" w:sz="0" w:space="0" w:color="auto"/>
      </w:divBdr>
    </w:div>
    <w:div w:id="1570456681">
      <w:bodyDiv w:val="1"/>
      <w:marLeft w:val="0"/>
      <w:marRight w:val="0"/>
      <w:marTop w:val="0"/>
      <w:marBottom w:val="0"/>
      <w:divBdr>
        <w:top w:val="none" w:sz="0" w:space="0" w:color="auto"/>
        <w:left w:val="none" w:sz="0" w:space="0" w:color="auto"/>
        <w:bottom w:val="none" w:sz="0" w:space="0" w:color="auto"/>
        <w:right w:val="none" w:sz="0" w:space="0" w:color="auto"/>
      </w:divBdr>
    </w:div>
    <w:div w:id="1682003362">
      <w:bodyDiv w:val="1"/>
      <w:marLeft w:val="0"/>
      <w:marRight w:val="0"/>
      <w:marTop w:val="0"/>
      <w:marBottom w:val="0"/>
      <w:divBdr>
        <w:top w:val="none" w:sz="0" w:space="0" w:color="auto"/>
        <w:left w:val="none" w:sz="0" w:space="0" w:color="auto"/>
        <w:bottom w:val="none" w:sz="0" w:space="0" w:color="auto"/>
        <w:right w:val="none" w:sz="0" w:space="0" w:color="auto"/>
      </w:divBdr>
    </w:div>
    <w:div w:id="1693990617">
      <w:bodyDiv w:val="1"/>
      <w:marLeft w:val="0"/>
      <w:marRight w:val="0"/>
      <w:marTop w:val="0"/>
      <w:marBottom w:val="0"/>
      <w:divBdr>
        <w:top w:val="none" w:sz="0" w:space="0" w:color="auto"/>
        <w:left w:val="none" w:sz="0" w:space="0" w:color="auto"/>
        <w:bottom w:val="none" w:sz="0" w:space="0" w:color="auto"/>
        <w:right w:val="none" w:sz="0" w:space="0" w:color="auto"/>
      </w:divBdr>
    </w:div>
    <w:div w:id="1706128817">
      <w:bodyDiv w:val="1"/>
      <w:marLeft w:val="0"/>
      <w:marRight w:val="0"/>
      <w:marTop w:val="0"/>
      <w:marBottom w:val="0"/>
      <w:divBdr>
        <w:top w:val="none" w:sz="0" w:space="0" w:color="auto"/>
        <w:left w:val="none" w:sz="0" w:space="0" w:color="auto"/>
        <w:bottom w:val="none" w:sz="0" w:space="0" w:color="auto"/>
        <w:right w:val="none" w:sz="0" w:space="0" w:color="auto"/>
      </w:divBdr>
    </w:div>
    <w:div w:id="1800877501">
      <w:bodyDiv w:val="1"/>
      <w:marLeft w:val="0"/>
      <w:marRight w:val="0"/>
      <w:marTop w:val="0"/>
      <w:marBottom w:val="0"/>
      <w:divBdr>
        <w:top w:val="none" w:sz="0" w:space="0" w:color="auto"/>
        <w:left w:val="none" w:sz="0" w:space="0" w:color="auto"/>
        <w:bottom w:val="none" w:sz="0" w:space="0" w:color="auto"/>
        <w:right w:val="none" w:sz="0" w:space="0" w:color="auto"/>
      </w:divBdr>
    </w:div>
    <w:div w:id="1801142842">
      <w:bodyDiv w:val="1"/>
      <w:marLeft w:val="0"/>
      <w:marRight w:val="0"/>
      <w:marTop w:val="0"/>
      <w:marBottom w:val="0"/>
      <w:divBdr>
        <w:top w:val="none" w:sz="0" w:space="0" w:color="auto"/>
        <w:left w:val="none" w:sz="0" w:space="0" w:color="auto"/>
        <w:bottom w:val="none" w:sz="0" w:space="0" w:color="auto"/>
        <w:right w:val="none" w:sz="0" w:space="0" w:color="auto"/>
      </w:divBdr>
    </w:div>
    <w:div w:id="1952862452">
      <w:bodyDiv w:val="1"/>
      <w:marLeft w:val="0"/>
      <w:marRight w:val="0"/>
      <w:marTop w:val="0"/>
      <w:marBottom w:val="0"/>
      <w:divBdr>
        <w:top w:val="none" w:sz="0" w:space="0" w:color="auto"/>
        <w:left w:val="none" w:sz="0" w:space="0" w:color="auto"/>
        <w:bottom w:val="none" w:sz="0" w:space="0" w:color="auto"/>
        <w:right w:val="none" w:sz="0" w:space="0" w:color="auto"/>
      </w:divBdr>
    </w:div>
    <w:div w:id="2058121836">
      <w:bodyDiv w:val="1"/>
      <w:marLeft w:val="0"/>
      <w:marRight w:val="0"/>
      <w:marTop w:val="0"/>
      <w:marBottom w:val="0"/>
      <w:divBdr>
        <w:top w:val="none" w:sz="0" w:space="0" w:color="auto"/>
        <w:left w:val="none" w:sz="0" w:space="0" w:color="auto"/>
        <w:bottom w:val="none" w:sz="0" w:space="0" w:color="auto"/>
        <w:right w:val="none" w:sz="0" w:space="0" w:color="auto"/>
      </w:divBdr>
    </w:div>
    <w:div w:id="2060089858">
      <w:bodyDiv w:val="1"/>
      <w:marLeft w:val="0"/>
      <w:marRight w:val="0"/>
      <w:marTop w:val="0"/>
      <w:marBottom w:val="0"/>
      <w:divBdr>
        <w:top w:val="none" w:sz="0" w:space="0" w:color="auto"/>
        <w:left w:val="none" w:sz="0" w:space="0" w:color="auto"/>
        <w:bottom w:val="none" w:sz="0" w:space="0" w:color="auto"/>
        <w:right w:val="none" w:sz="0" w:space="0" w:color="auto"/>
      </w:divBdr>
    </w:div>
    <w:div w:id="20678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TOANKOI</dc:creator>
  <cp:lastModifiedBy>TOANKOI</cp:lastModifiedBy>
  <cp:revision>2</cp:revision>
  <dcterms:created xsi:type="dcterms:W3CDTF">2017-08-21T09:24:00Z</dcterms:created>
  <dcterms:modified xsi:type="dcterms:W3CDTF">2017-08-21T09:24:00Z</dcterms:modified>
</cp:coreProperties>
</file>